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Access Wasn’t the Launch Step.</w:t>
        <w:br/>
        <w:t>It Was the Launch Strategy.</w:t>
      </w:r>
    </w:p>
    <w:p>
      <w:pPr>
        <w:spacing w:after="320"/>
      </w:pPr>
      <w:r>
        <w:rPr>
          <w:i/>
          <w:color w:val="475569"/>
          <w:sz w:val="23"/>
        </w:rPr>
        <w:t>How GreyRadius helped a Southeast Asian fintech platform navigate Kenya fintech market entry — aligning Central Bank of Kenya (CBK) regulatory approval, M-Pesa API integration, and merchant adoption for digital payments market entry into East Africa.</w:t>
      </w:r>
    </w:p>
    <w:p>
      <w:pPr>
        <w:pStyle w:val="Heading1"/>
      </w:pPr>
      <w:r>
        <w:t>Context</w:t>
      </w:r>
    </w:p>
    <w:p>
      <w:r>
        <w:t>A Southeast Asian fintech platform was preparing for market entry into Kenya, one of Africa’s most established digital-payments markets and the anchor of East Africa fintech expansion. GreyRadius ran the engagement over 4 months, aligning CBK approval, M-Pesa integration and a 15-merchant pilot cohort into a single launch sequence ahead of a phased national rollout.</w:t>
      </w:r>
    </w:p>
    <w:p>
      <w:r>
        <w:t>On paper, the path to launch appeared straightforward: secure the required Central Bank of Kenya (CBK) licensing and approval, connect into the local mobile-money ecosystem through M-Pesa API integration, acquire merchants, and begin processing transactions.</w:t>
      </w:r>
    </w:p>
    <w:p>
      <w:r>
        <w:t>But Kenya was not a market where technology readiness alone translated into commercial readiness.</w:t>
      </w:r>
    </w:p>
    <w:p>
      <w:r>
        <w:t>CBK regulatory approval determined whether the business could operate. M-Pesa connectivity, built on Safaricom’s Daraja API, determined whether the proposition fitted established mobile money payment behaviour. Merchant adoption determined whether that infrastructure could convert into transaction volume.</w:t>
      </w:r>
    </w:p>
    <w:p>
      <w:r>
        <w:t>The risk was therefore larger than a delayed product launch. If these dependencies moved at different speeds, the company could enter the market technically ready but commercially constrained—or build merchant demand before the payment infrastructure required to serve it was ready.</w:t>
      </w:r>
    </w:p>
    <w:p>
      <w:pPr>
        <w:pStyle w:val="Heading1"/>
      </w:pPr>
      <w:r>
        <w:t>The Core Challenge</w:t>
      </w:r>
    </w:p>
    <w:p>
      <w:r>
        <w:rPr>
          <w:b/>
        </w:rPr>
        <w:t>The surface problem</w:t>
      </w:r>
      <w:r>
        <w:t xml:space="preserve"> appeared to be execution across three workstreams: regulatory approval, payment integration, and merchant acquisition.</w:t>
      </w:r>
    </w:p>
    <w:p>
      <w:r>
        <w:rPr>
          <w:b/>
        </w:rPr>
        <w:t>The real structural issue</w:t>
      </w:r>
      <w:r>
        <w:t xml:space="preserve"> was that these were being managed as parallel activities when they were actually sequentially dependent market-entry gates.</w:t>
      </w:r>
    </w:p>
    <w:p>
      <w:r>
        <w:t>That distinction changed the economics of the launch.</w:t>
      </w:r>
    </w:p>
    <w:p>
      <w:r>
        <w:t>Merchant acquisition without payment readiness could create onboarding friction and weaken early merchant confidence. M-Pesa integration without regulatory clarity could leave technology investment ahead of market authorization. Regulatory approval without a defined path to merchant transactions could produce market access without commercial traction.</w:t>
      </w:r>
    </w:p>
    <w:p>
      <w:r>
        <w:t>The original model therefore created fragmented ownership and reactive coordination between regulatory, technology, and commercial teams.</w:t>
      </w:r>
    </w:p>
    <w:p>
      <w:r>
        <w:t>The business did not simply need three workstreams to move faster. It needed one entry architecture that determined when each part of the organization should move.</w:t>
      </w:r>
    </w:p>
    <w:p>
      <w:pPr>
        <w:pStyle w:val="Heading1"/>
      </w:pPr>
      <w:r>
        <w:t>The Decision Shift</w:t>
      </w:r>
    </w:p>
    <w:p>
      <w:r>
        <w:t>The company shifted from a technology-led market launch to an approval-and-ecosystem-led entry model.</w:t>
      </w:r>
    </w:p>
    <w:p>
      <w:pPr>
        <w:ind w:left="360" w:right="360"/>
      </w:pPr>
      <w:r>
        <w:rPr>
          <w:b/>
          <w:sz w:val="22"/>
        </w:rPr>
        <w:t>Kenya should not be considered launch-ready when the product was ready. It should be considered launch-ready when regulatory permission, local payment connectivity, and merchant adoption could work together.</w:t>
      </w:r>
    </w:p>
    <w:p>
      <w:r>
        <w:t>CBK readiness became an entry gate rather than a compliance activity running alongside commercialization.</w:t>
      </w:r>
    </w:p>
    <w:p>
      <w:r>
        <w:t>M-Pesa connectivity became part of the market-entry proposition rather than a technical integration to be completed independently.</w:t>
      </w:r>
    </w:p>
    <w:p>
      <w:r>
        <w:t>Merchant acquisition was reframed from building the largest possible pre-launch pipeline to proving that merchants could move from onboarding to live transaction activity.</w:t>
      </w:r>
    </w:p>
    <w:p>
      <w:r>
        <w:t>This changed the definition of progress. Internal milestones became less important than reducing the distance between approval, payment readiness, merchant activation, and first transactions.</w:t>
      </w:r>
    </w:p>
    <w:p>
      <w:pPr>
        <w:pStyle w:val="Heading1"/>
      </w:pPr>
      <w:r>
        <w:t>What Changed in Execution</w:t>
      </w:r>
    </w:p>
    <w:p>
      <w:r>
        <w:t>Launch sequencing became dependency-led.</w:t>
      </w:r>
    </w:p>
    <w:p>
      <w:r>
        <w:t>Commercial scale-up was tied to regulatory readiness, reducing the risk of building merchant commitments ahead of the company's ability to serve them.</w:t>
      </w:r>
    </w:p>
    <w:p>
      <w:r>
        <w:t>M-Pesa API integration was embedded into the local payment architecture, aligning the platform’s mobile money integration more closely with how Kenyan merchants and consumers already transact rather than forcing an imported payment model onto the market.</w:t>
      </w:r>
    </w:p>
    <w:p>
      <w:r>
        <w:t>Merchant acquisition was synchronized with payment readiness. The initial commercial focus shifted toward a controlled 15-merchant pilot cohort capable of validating onboarding, payment acceptance, and transaction behaviour before broader expansion.</w:t>
      </w:r>
    </w:p>
    <w:p>
      <w:r>
        <w:t>Accountability also became clearer across regulatory, technology, and commercial functions. Instead of each team optimizing its own milestone, execution was organized around a shared launch sequence.</w:t>
      </w:r>
    </w:p>
    <w:p>
      <w:r>
        <w:t>This created better execution visibility for leadership: what was blocking launch, which dependency had to move next, and when commercial expansion could responsibly accelerate.</w:t>
      </w:r>
    </w:p>
    <w:p>
      <w:pPr>
        <w:pStyle w:val="Heading1"/>
      </w:pPr>
      <w:r>
        <w:t>Business Impact Delivered</w:t>
      </w:r>
    </w:p>
    <w:p>
      <w:r>
        <w:t>The revised entry model reduced the risk of a fragmented launch in which regulatory, technology, and merchant-readiness milestones were achieved independently but failed to produce commercial momentum.</w:t>
      </w:r>
    </w:p>
    <w:p>
      <w:r>
        <w:t>A defined CBK approval pathway created greater clarity around the regulatory gate.</w:t>
      </w:r>
    </w:p>
    <w:p>
      <w:r>
        <w:t>A defined M-Pesa integration pathway connected market authorization with the payment infrastructure required for local relevance.</w:t>
      </w:r>
    </w:p>
    <w:p>
      <w:r>
        <w:t>Most importantly, the merchant milestone shifted attention toward transaction adoption rather than merchant sign-ups alone.</w:t>
      </w:r>
    </w:p>
    <w:p>
      <w:r>
        <w:t>The result was a clearer path from regulatory access → payment readiness → merchant activation → live transaction adoption → commercial scale.</w:t>
      </w:r>
    </w:p>
    <w:p>
      <w:r>
        <w:t>For leadership, this improved the predictability of market entry and created a more disciplined basis for deciding when to commit additional commercial resources.</w:t>
      </w:r>
    </w:p>
    <w:p>
      <w:pPr>
        <w:pStyle w:val="Heading1"/>
      </w:pPr>
      <w:r>
        <w:t>Key Outcomes</w:t>
      </w:r>
    </w:p>
    <w:p>
      <w:pPr>
        <w:pStyle w:val="ListBullet"/>
        <w:spacing w:after="60"/>
      </w:pPr>
      <w:r>
        <w:rPr>
          <w:b/>
        </w:rPr>
        <w:t>1 CBK approval pathway established as a core market-entry gate, tracked across a 4-month engagement</w:t>
      </w:r>
      <w:r/>
    </w:p>
    <w:p>
      <w:pPr>
        <w:pStyle w:val="ListBullet"/>
        <w:spacing w:after="60"/>
      </w:pPr>
      <w:r>
        <w:rPr>
          <w:b/>
        </w:rPr>
        <w:t>1 M-Pesa integration pathway</w:t>
      </w:r>
      <w:r>
        <w:t xml:space="preserve"> defined within the local payment architecture</w:t>
      </w:r>
    </w:p>
    <w:p>
      <w:pPr>
        <w:pStyle w:val="ListBullet"/>
        <w:spacing w:after="60"/>
      </w:pPr>
      <w:r>
        <w:rPr>
          <w:b/>
        </w:rPr>
        <w:t>15-merchant pilot cohort activated ahead of national rollout</w:t>
      </w:r>
      <w:r/>
    </w:p>
    <w:p>
      <w:pPr>
        <w:pStyle w:val="ListBullet"/>
        <w:spacing w:after="60"/>
      </w:pPr>
      <w:r>
        <w:rPr>
          <w:b/>
        </w:rPr>
        <w:t>Commercial rollout sequenced around payment readiness</w:t>
      </w:r>
      <w:r/>
    </w:p>
    <w:p>
      <w:pPr>
        <w:pStyle w:val="ListBullet"/>
        <w:spacing w:after="60"/>
      </w:pPr>
      <w:r>
        <w:rPr>
          <w:b/>
        </w:rPr>
        <w:t>Lower risk of premature merchant scale-up</w:t>
      </w:r>
      <w:r/>
    </w:p>
    <w:p>
      <w:pPr>
        <w:pStyle w:val="ListBullet"/>
        <w:spacing w:after="60"/>
      </w:pPr>
      <w:r>
        <w:rPr>
          <w:b/>
        </w:rPr>
        <w:t>Clearer linkage between regulatory approval and transaction adoption</w:t>
      </w:r>
      <w:r/>
    </w:p>
    <w:p>
      <w:pPr>
        <w:keepLines/>
        <w:spacing w:before="240"/>
      </w:pPr>
      <w:r>
        <w:rPr>
          <w:b w:val="0"/>
        </w:rPr>
        <w:t>Kenya demonstrated a broader lesson for East Africa fintech expansion and market entry strategy: market entry is not complete when a regulator approves the business or when the technology goes live. It becomes commercially real when regulation, local payment infrastructure, and customer adoption converge. Scaling before that convergence does not accelerate entry—it multiplies execution risk.</w:t>
      </w:r>
      <w:r>
        <w:rPr>
          <w:b/>
        </w:rPr>
      </w:r>
    </w:p>
    <w:sectPr w:rsidR="00FC693F" w:rsidRPr="0006063C" w:rsidSect="00034616">
      <w:footerReference w:type="default" r:id="rId9"/>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GreyRadius Consulting | Executive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E293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E29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