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ptos" w:cs="Aptos" w:eastAsia="Aptos" w:hAnsi="Aptos"/>
          <w:b/>
          <w:bCs/>
          <w:color w:val="002A5C"/>
          <w:sz w:val="40"/>
          <w:szCs w:val="40"/>
        </w:rPr>
        <w:t xml:space="preserve">How to find and evaluate distributors in India, a framework that actually works</w:t>
      </w:r>
    </w:p>
    <w:p>
      <w:pPr>
        <w:spacing w:after="260"/>
      </w:pPr>
      <w:r>
        <w:rPr>
          <w:rFonts w:ascii="Aptos" w:cs="Aptos" w:eastAsia="Aptos" w:hAnsi="Aptos"/>
          <w:i/>
          <w:iCs/>
          <w:color w:val="666F7A"/>
          <w:sz w:val="26"/>
          <w:szCs w:val="26"/>
        </w:rPr>
        <w:t xml:space="preserve">Four sourcing channels, six evaluation criteria, and three red flags most companies ignore</w:t>
      </w:r>
    </w:p>
    <w:p>
      <w:pPr>
        <w:spacing w:after="40"/>
      </w:pPr>
      <w:r>
        <w:rPr>
          <w:rFonts w:ascii="Aptos" w:cs="Aptos" w:eastAsia="Aptos" w:hAnsi="Aptos"/>
          <w:b/>
          <w:bCs/>
          <w:color w:val="003399"/>
          <w:sz w:val="22"/>
          <w:szCs w:val="22"/>
        </w:rPr>
        <w:t xml:space="preserve">GreyRadius Consulting</w:t>
      </w:r>
    </w:p>
    <w:p>
      <w:pPr>
        <w:spacing w:after="400"/>
      </w:pPr>
      <w:r>
        <w:rPr>
          <w:rFonts w:ascii="Aptos" w:cs="Aptos" w:eastAsia="Aptos" w:hAnsi="Aptos"/>
          <w:color w:val="666F7A"/>
          <w:sz w:val="18"/>
          <w:szCs w:val="18"/>
        </w:rPr>
        <w:t xml:space="preserve">Blog article | Strategy to execution</w:t>
      </w:r>
    </w:p>
    <w:p>
      <w:pPr>
        <w:spacing w:after="160"/>
      </w:pPr>
      <w:r>
        <w:rPr>
          <w:rFonts w:ascii="Aptos" w:cs="Aptos" w:eastAsia="Aptos" w:hAnsi="Aptos"/>
          <w:b/>
          <w:bCs/>
          <w:color w:val="002A5C"/>
          <w:sz w:val="24"/>
          <w:szCs w:val="24"/>
        </w:rPr>
        <w:t xml:space="preserve">Table of contents</w:t>
      </w:r>
    </w:p>
    <w:p>
      <w:pPr>
        <w:spacing w:after="90"/>
        <w:ind w:left="200"/>
      </w:pPr>
      <w:r>
        <w:rPr>
          <w:rFonts w:ascii="Aptos" w:cs="Aptos" w:eastAsia="Aptos" w:hAnsi="Aptos"/>
          <w:color w:val="003399"/>
          <w:sz w:val="21"/>
          <w:szCs w:val="21"/>
        </w:rPr>
        <w:t xml:space="preserve">•  Executive summary</w:t>
      </w:r>
    </w:p>
    <w:p>
      <w:pPr>
        <w:spacing w:after="90"/>
        <w:ind w:left="200"/>
      </w:pPr>
      <w:r>
        <w:rPr>
          <w:rFonts w:ascii="Aptos" w:cs="Aptos" w:eastAsia="Aptos" w:hAnsi="Aptos"/>
          <w:color w:val="003399"/>
          <w:sz w:val="21"/>
          <w:szCs w:val="21"/>
        </w:rPr>
        <w:t xml:space="preserve">•  Why distributor selection needs a framework, not a gut call</w:t>
      </w:r>
    </w:p>
    <w:p>
      <w:pPr>
        <w:spacing w:after="90"/>
        <w:ind w:left="200"/>
      </w:pPr>
      <w:r>
        <w:rPr>
          <w:rFonts w:ascii="Aptos" w:cs="Aptos" w:eastAsia="Aptos" w:hAnsi="Aptos"/>
          <w:color w:val="003399"/>
          <w:sz w:val="21"/>
          <w:szCs w:val="21"/>
        </w:rPr>
        <w:t xml:space="preserve">•  Four ways to find distributors in India</w:t>
      </w:r>
    </w:p>
    <w:p>
      <w:pPr>
        <w:spacing w:after="90"/>
        <w:ind w:left="200"/>
      </w:pPr>
      <w:r>
        <w:rPr>
          <w:rFonts w:ascii="Aptos" w:cs="Aptos" w:eastAsia="Aptos" w:hAnsi="Aptos"/>
          <w:color w:val="003399"/>
          <w:sz w:val="21"/>
          <w:szCs w:val="21"/>
        </w:rPr>
        <w:t xml:space="preserve">•  Six evaluation criteria that actually predict performance</w:t>
      </w:r>
    </w:p>
    <w:p>
      <w:pPr>
        <w:spacing w:after="90"/>
        <w:ind w:left="200"/>
      </w:pPr>
      <w:r>
        <w:rPr>
          <w:rFonts w:ascii="Aptos" w:cs="Aptos" w:eastAsia="Aptos" w:hAnsi="Aptos"/>
          <w:color w:val="003399"/>
          <w:sz w:val="21"/>
          <w:szCs w:val="21"/>
        </w:rPr>
        <w:t xml:space="preserve">•  Three red flags most companies ignore</w:t>
      </w:r>
    </w:p>
    <w:p>
      <w:pPr>
        <w:spacing w:after="90"/>
        <w:ind w:left="200"/>
      </w:pPr>
      <w:r>
        <w:rPr>
          <w:rFonts w:ascii="Aptos" w:cs="Aptos" w:eastAsia="Aptos" w:hAnsi="Aptos"/>
          <w:color w:val="003399"/>
          <w:sz w:val="21"/>
          <w:szCs w:val="21"/>
        </w:rPr>
        <w:t xml:space="preserve">•  FAQs</w:t>
      </w:r>
    </w:p>
    <w:p>
      <w:pPr>
        <w:spacing w:after="90"/>
        <w:ind w:left="200"/>
      </w:pPr>
      <w:r>
        <w:rPr>
          <w:rFonts w:ascii="Aptos" w:cs="Aptos" w:eastAsia="Aptos" w:hAnsi="Aptos"/>
          <w:color w:val="003399"/>
          <w:sz w:val="21"/>
          <w:szCs w:val="21"/>
        </w:rPr>
        <w:t xml:space="preserve">•  Conclusion</w:t>
      </w:r>
    </w:p>
    <w:p>
      <w:pPr>
        <w:spacing w:after="90"/>
        <w:ind w:left="200"/>
      </w:pPr>
      <w:r>
        <w:rPr>
          <w:rFonts w:ascii="Aptos" w:cs="Aptos" w:eastAsia="Aptos" w:hAnsi="Aptos"/>
          <w:color w:val="003399"/>
          <w:sz w:val="21"/>
          <w:szCs w:val="21"/>
        </w:rPr>
        <w:t xml:space="preserve">•  Official references</w:t>
      </w:r>
    </w:p>
    <w:p>
      <w:pPr>
        <w:spacing w:after="200"/>
      </w:pPr>
    </w:p>
    <w:p>
      <w:pPr>
        <w:pStyle w:val="Heading1"/>
        <w:spacing w:after="160" w:before="360"/>
      </w:pPr>
      <w:r>
        <w:rPr>
          <w:rFonts w:ascii="Aptos" w:cs="Aptos" w:eastAsia="Aptos" w:hAnsi="Aptos"/>
          <w:b/>
          <w:bCs/>
          <w:color w:val="002A5C"/>
          <w:sz w:val="30"/>
          <w:szCs w:val="30"/>
        </w:rPr>
        <w:t xml:space="preserve">Executive summary</w:t>
      </w:r>
    </w:p>
    <w:p>
      <w:pPr>
        <w:spacing w:after="200" w:line="276"/>
      </w:pPr>
      <w:r>
        <w:rPr>
          <w:rFonts w:ascii="Aptos" w:cs="Aptos" w:eastAsia="Aptos" w:hAnsi="Aptos"/>
          <w:color w:val="222222"/>
          <w:sz w:val="22"/>
          <w:szCs w:val="22"/>
        </w:rPr>
        <w:t xml:space="preserve">India moves FMCG products through a three-tier distributor, wholesaler, retailer structure, and a large FMCG company typically runs between 40 and 80 distributors nationally to cover it, according to the US Commercial Service's India distribution and sales channels guide. That number alone rules out the idea of finding one "national distributor" the way a company might in a smaller, more centralised market. Distributor selection in India is a regional, criteria-driven process repeated market by market, not a single hire.</w:t>
      </w:r>
    </w:p>
    <w:p>
      <w:pPr>
        <w:spacing w:after="200" w:line="276"/>
      </w:pPr>
      <w:r>
        <w:rPr>
          <w:rFonts w:ascii="Aptos" w:cs="Aptos" w:eastAsia="Aptos" w:hAnsi="Aptos"/>
          <w:color w:val="222222"/>
          <w:sz w:val="22"/>
          <w:szCs w:val="22"/>
        </w:rPr>
        <w:t xml:space="preserve">This piece sets out the framework GreyRadius uses when a client asks us to find and vet Indian distribution partners: four channels for sourcing candidates, six criteria for evaluating them, and three red flags that show up in almost every distributor failure we have reviewed but that most companies skip past during the sales pitch. It is written for category heads, GTM leads, and founders building or rebuilding an India distribution network.</w:t>
      </w:r>
    </w:p>
    <w:p>
      <w:pPr>
        <w:pStyle w:val="Heading1"/>
        <w:spacing w:after="160" w:before="360"/>
      </w:pPr>
      <w:r>
        <w:rPr>
          <w:rFonts w:ascii="Aptos" w:cs="Aptos" w:eastAsia="Aptos" w:hAnsi="Aptos"/>
          <w:b/>
          <w:bCs/>
          <w:color w:val="002A5C"/>
          <w:sz w:val="30"/>
          <w:szCs w:val="30"/>
        </w:rPr>
        <w:t xml:space="preserve">Why distributor selection needs a framework, not a gut call</w:t>
      </w:r>
    </w:p>
    <w:p>
      <w:pPr>
        <w:spacing w:after="200" w:line="276"/>
      </w:pPr>
      <w:r>
        <w:rPr>
          <w:rFonts w:ascii="Aptos" w:cs="Aptos" w:eastAsia="Aptos" w:hAnsi="Aptos"/>
          <w:color w:val="222222"/>
          <w:sz w:val="22"/>
          <w:szCs w:val="22"/>
        </w:rPr>
        <w:t xml:space="preserve">Most distributor appointment mistakes are not fraud. They are companies signing the first credible-looking candidate because the sales conversation went well, then discovering months later that the same distributor already carries a directly competing brand, or cannot fund the stock levels the launch plan assumed. Engaging a local distributor is not just commercially useful in India, it is legally mandated for specific sectors including pharmaceuticals, medical devices, cosmetics, and food products, per the same US Commercial Service guide, which raises the cost of getting the choice wrong.</w:t>
      </w:r>
    </w:p>
    <w:p>
      <w:pPr>
        <w:spacing w:after="200" w:line="276"/>
      </w:pPr>
      <w:r>
        <w:rPr>
          <w:rFonts w:ascii="Aptos" w:cs="Aptos" w:eastAsia="Aptos" w:hAnsi="Aptos"/>
          <w:color w:val="222222"/>
          <w:sz w:val="22"/>
          <w:szCs w:val="22"/>
        </w:rPr>
        <w:t xml:space="preserve">A repeatable framework fixes this by separating two questions that get collapsed into one conversation: can this distributor be found and reached at all, and once found, does this specific distributor actually fit this specific product and territory. The next two sections answer each question in turn.</w:t>
      </w:r>
    </w:p>
    <w:p>
      <w:pPr>
        <w:pStyle w:val="Heading1"/>
        <w:spacing w:after="160" w:before="360"/>
      </w:pPr>
      <w:r>
        <w:rPr>
          <w:rFonts w:ascii="Aptos" w:cs="Aptos" w:eastAsia="Aptos" w:hAnsi="Aptos"/>
          <w:b/>
          <w:bCs/>
          <w:color w:val="002A5C"/>
          <w:sz w:val="30"/>
          <w:szCs w:val="30"/>
        </w:rPr>
        <w:t xml:space="preserve">Four ways to find distributors in India</w:t>
      </w:r>
    </w:p>
    <w:p>
      <w:pPr>
        <w:pStyle w:val="Heading2"/>
        <w:spacing w:after="120" w:before="260"/>
      </w:pPr>
      <w:r>
        <w:rPr>
          <w:rFonts w:ascii="Aptos" w:cs="Aptos" w:eastAsia="Aptos" w:hAnsi="Aptos"/>
          <w:b/>
          <w:bCs/>
          <w:color w:val="003399"/>
          <w:sz w:val="24"/>
          <w:szCs w:val="24"/>
        </w:rPr>
        <w:t xml:space="preserve">1. Trade associations</w:t>
      </w:r>
    </w:p>
    <w:p>
      <w:pPr>
        <w:spacing w:after="200" w:line="276"/>
      </w:pPr>
      <w:r>
        <w:rPr>
          <w:rFonts w:ascii="Aptos" w:cs="Aptos" w:eastAsia="Aptos" w:hAnsi="Aptos"/>
          <w:color w:val="222222"/>
          <w:sz w:val="22"/>
          <w:szCs w:val="22"/>
        </w:rPr>
        <w:t xml:space="preserve">The All India Consumer Products Distributors Federation is the largest body to start with. AICPDF describes itself as a registered public trust representing more than 4 lakh, or 400,000, FMCG distributors, safeguarding supply chains that connect to roughly 1.3 crore retail and kirana stores nationally, according to AICPDF's own site. AICPDF also runs active regional chapters and has recently taken public positions on GST rate rationalisation and quick-commerce pricing, which signals a body genuinely embedded in distributor concerns, not a dormant directory. Category-specific bodies exist too. Food and pharma companies should expect separate, sector-specific federations rather than relying on AICPDF alone.</w:t>
      </w:r>
    </w:p>
    <w:p>
      <w:pPr>
        <w:pStyle w:val="Heading2"/>
        <w:spacing w:after="120" w:before="260"/>
      </w:pPr>
      <w:r>
        <w:rPr>
          <w:rFonts w:ascii="Aptos" w:cs="Aptos" w:eastAsia="Aptos" w:hAnsi="Aptos"/>
          <w:b/>
          <w:bCs/>
          <w:color w:val="003399"/>
          <w:sz w:val="24"/>
          <w:szCs w:val="24"/>
        </w:rPr>
        <w:t xml:space="preserve">2. Industry events</w:t>
      </w:r>
    </w:p>
    <w:p>
      <w:pPr>
        <w:spacing w:after="200" w:line="276"/>
      </w:pPr>
      <w:r>
        <w:rPr>
          <w:rFonts w:ascii="Aptos" w:cs="Aptos" w:eastAsia="Aptos" w:hAnsi="Aptos"/>
          <w:color w:val="222222"/>
          <w:sz w:val="22"/>
          <w:szCs w:val="22"/>
        </w:rPr>
        <w:t xml:space="preserve">National-scale FMCG trade events surface distributors actively looking for new brands to carry. CMPL, the Contract Manufacturing and Private Label Expo, runs in Delhi and Mumbai and reported over 500 exhibitors and more than 30,000 trade attendees at its most recent editions, per the organiser's own figures. Fi India and its co-located ProPak India event in Mumbai draw over 16,000 expected industry attendees across food ingredients, processing, and packaging. These events work best for finding distributors with multi-brand, multi-category reach. For regional coverage, smaller city-specific expos matter more: FMCG BizConnect Expo in Raipur, for instance, is built specifically to connect brands with Central India distributors, wholesalers, and stockists, illustrating that a regional show will often out-perform a national one when the goal is dense coverage in one cluster of states.</w:t>
      </w:r>
    </w:p>
    <w:p>
      <w:pPr>
        <w:pStyle w:val="Heading2"/>
        <w:spacing w:after="120" w:before="260"/>
      </w:pPr>
      <w:r>
        <w:rPr>
          <w:rFonts w:ascii="Aptos" w:cs="Aptos" w:eastAsia="Aptos" w:hAnsi="Aptos"/>
          <w:b/>
          <w:bCs/>
          <w:color w:val="003399"/>
          <w:sz w:val="24"/>
          <w:szCs w:val="24"/>
        </w:rPr>
        <w:t xml:space="preserve">3. Competitor distributor mapping</w:t>
      </w:r>
    </w:p>
    <w:p>
      <w:pPr>
        <w:spacing w:after="200" w:line="276"/>
      </w:pPr>
      <w:r>
        <w:rPr>
          <w:rFonts w:ascii="Aptos" w:cs="Aptos" w:eastAsia="Aptos" w:hAnsi="Aptos"/>
          <w:color w:val="222222"/>
          <w:sz w:val="22"/>
          <w:szCs w:val="22"/>
        </w:rPr>
        <w:t xml:space="preserve">This is the channel GreyRadius relies on most for clients entering a category with established competitors. Import and customs trade data, through platforms such as Volza and Trade Map, can identify which entities are already importing or distributing products under the same HS codes as your closest competitors. Cross-referencing that data against a competitor's known distribution footprint surfaces the specific companies already funding stock, running routes, and reaching retailers in your category, which is a faster and more evidence-based starting list than cold outreach. We used this same trade-data cross-referencing approach in a recent techno-commercial feasibility study for an industrial manufacturing client, and the method transfers directly to FMCG and consumer categories.</w:t>
      </w:r>
    </w:p>
    <w:p>
      <w:pPr>
        <w:pStyle w:val="Heading2"/>
        <w:spacing w:after="120" w:before="260"/>
      </w:pPr>
      <w:r>
        <w:rPr>
          <w:rFonts w:ascii="Aptos" w:cs="Aptos" w:eastAsia="Aptos" w:hAnsi="Aptos"/>
          <w:b/>
          <w:bCs/>
          <w:color w:val="003399"/>
          <w:sz w:val="24"/>
          <w:szCs w:val="24"/>
        </w:rPr>
        <w:t xml:space="preserve">4. Referral networks</w:t>
      </w:r>
    </w:p>
    <w:p>
      <w:pPr>
        <w:spacing w:after="200" w:line="276"/>
      </w:pPr>
      <w:r>
        <w:rPr>
          <w:rFonts w:ascii="Aptos" w:cs="Aptos" w:eastAsia="Aptos" w:hAnsi="Aptos"/>
          <w:color w:val="222222"/>
          <w:sz w:val="22"/>
          <w:szCs w:val="22"/>
        </w:rPr>
        <w:t xml:space="preserve">C&amp;F agents, GST and tax consultants who service FMCG clients, and non-competing distributors who already carry adjacent categories are consistently under-used as a sourcing channel. These referral sources see distributor financial behaviour, order discipline, and reputation in ways a first-meeting sales pitch cannot reveal, because they are watching the distributor's actual day-to-day conduct across other principals, not a single pitch conversation.</w:t>
      </w:r>
    </w:p>
    <w:tbl>
      <w:tblPr>
        <w:tblW w:type="pct" w:w="100%"/>
        <w:tblBorders>
          <w:top w:val="single" w:color="003399" w:sz="6"/>
          <w:left w:val="single" w:color="003399" w:sz="6"/>
          <w:bottom w:val="single" w:color="003399" w:sz="6"/>
          <w:right w:val="single" w:color="003399" w:sz="6"/>
          <w:insideH w:val="none" w:color="FFFFFF" w:sz="0"/>
          <w:insideV w:val="none" w:color="FFFFFF" w:sz="0"/>
        </w:tblBorders>
      </w:tblPr>
      <w:tblGrid>
        <w:gridCol w:w="100"/>
      </w:tblGrid>
      <w:tr>
        <w:tc>
          <w:tcPr>
            <w:tcW w:type="pct" w:w="100%"/>
            <w:shd w:fill="EAF2FA" w:color="auto" w:val="clear"/>
            <w:tcMar>
              <w:top w:type="dxa" w:w="160"/>
              <w:left w:type="dxa" w:w="200"/>
              <w:bottom w:type="dxa" w:w="160"/>
              <w:right w:type="dxa" w:w="200"/>
            </w:tcMar>
          </w:tcPr>
          <w:p>
            <w:pPr>
              <w:spacing w:after="0"/>
            </w:pPr>
            <w:r>
              <w:rPr>
                <w:rFonts w:ascii="Aptos" w:cs="Aptos" w:eastAsia="Aptos" w:hAnsi="Aptos"/>
                <w:b/>
                <w:bCs/>
                <w:color w:val="002A5C"/>
                <w:sz w:val="22"/>
                <w:szCs w:val="22"/>
              </w:rPr>
              <w:t xml:space="preserve">GreyRadius insight: </w:t>
            </w:r>
            <w:r>
              <w:rPr>
                <w:rFonts w:ascii="Aptos" w:cs="Aptos" w:eastAsia="Aptos" w:hAnsi="Aptos"/>
                <w:color w:val="222222"/>
                <w:sz w:val="22"/>
                <w:szCs w:val="22"/>
              </w:rPr>
              <w:t xml:space="preserve">Run all four channels in parallel per target region rather than sequentially. A candidate that appears through both competitor mapping and a referral has already cleared two independent filters before you have spoken to them once.</w:t>
            </w:r>
          </w:p>
        </w:tc>
      </w:tr>
    </w:tbl>
    <w:p>
      <w:pPr>
        <w:pStyle w:val="Heading1"/>
        <w:spacing w:after="160" w:before="360"/>
      </w:pPr>
      <w:r>
        <w:rPr>
          <w:rFonts w:ascii="Aptos" w:cs="Aptos" w:eastAsia="Aptos" w:hAnsi="Aptos"/>
          <w:b/>
          <w:bCs/>
          <w:color w:val="002A5C"/>
          <w:sz w:val="30"/>
          <w:szCs w:val="30"/>
        </w:rPr>
        <w:t xml:space="preserve">Six evaluation criteria that actually predict performance</w:t>
      </w:r>
    </w:p>
    <w:p>
      <w:pPr>
        <w:spacing w:after="200" w:line="276"/>
      </w:pPr>
      <w:r>
        <w:rPr>
          <w:rFonts w:ascii="Aptos" w:cs="Aptos" w:eastAsia="Aptos" w:hAnsi="Aptos"/>
          <w:color w:val="222222"/>
          <w:sz w:val="22"/>
          <w:szCs w:val="22"/>
        </w:rPr>
        <w:t xml:space="preserve">Once you have candidates, score them against the same six criteria every time, not a different ad hoc conversation per distributor. The table below is the scorecard structure GreyRadius uses in client engagements.</w:t>
      </w:r>
    </w:p>
    <w:tbl>
      <w:tblPr>
        <w:tblW w:type="pct" w:w="100%"/>
        <w:tblBorders>
          <w:top w:val="single" w:color="BFC7CF" w:sz="4"/>
          <w:left w:val="single" w:color="BFC7CF" w:sz="4"/>
          <w:bottom w:val="single" w:color="BFC7CF" w:sz="4"/>
          <w:right w:val="single" w:color="BFC7CF" w:sz="4"/>
          <w:insideH w:val="single" w:color="BFC7CF" w:sz="4"/>
          <w:insideV w:val="single" w:color="BFC7CF" w:sz="4"/>
        </w:tblBorders>
      </w:tblPr>
      <w:tblGrid>
        <w:gridCol w:w="100"/>
        <w:gridCol w:w="100"/>
      </w:tblGrid>
      <w:tr>
        <w:trPr>
          <w:tblHeader/>
        </w:trPr>
        <w:tc>
          <w:tcPr>
            <w:tcW w:type="pct" w:w="28%"/>
            <w:shd w:fill="002A5C" w:color="auto" w:val="clear"/>
            <w:tcMar>
              <w:top w:type="dxa" w:w="120"/>
              <w:left w:type="dxa" w:w="140"/>
              <w:bottom w:type="dxa" w:w="120"/>
              <w:right w:type="dxa" w:w="140"/>
            </w:tcMar>
          </w:tcPr>
          <w:p>
            <w:r>
              <w:rPr>
                <w:rFonts w:ascii="Aptos" w:cs="Aptos" w:eastAsia="Aptos" w:hAnsi="Aptos"/>
                <w:b/>
                <w:bCs/>
                <w:color w:val="FFFFFF"/>
                <w:sz w:val="20"/>
                <w:szCs w:val="20"/>
              </w:rPr>
              <w:t xml:space="preserve">Criterion</w:t>
            </w:r>
          </w:p>
        </w:tc>
        <w:tc>
          <w:tcPr>
            <w:tcW w:type="pct" w:w="72%"/>
            <w:shd w:fill="002A5C" w:color="auto" w:val="clear"/>
            <w:tcMar>
              <w:top w:type="dxa" w:w="120"/>
              <w:left w:type="dxa" w:w="140"/>
              <w:bottom w:type="dxa" w:w="120"/>
              <w:right w:type="dxa" w:w="140"/>
            </w:tcMar>
          </w:tcPr>
          <w:p>
            <w:r>
              <w:rPr>
                <w:rFonts w:ascii="Aptos" w:cs="Aptos" w:eastAsia="Aptos" w:hAnsi="Aptos"/>
                <w:b/>
                <w:bCs/>
                <w:color w:val="FFFFFF"/>
                <w:sz w:val="20"/>
                <w:szCs w:val="20"/>
              </w:rPr>
              <w:t xml:space="preserve">What to actually check</w:t>
            </w:r>
          </w:p>
        </w:tc>
      </w:tr>
      <w:tr>
        <w:tc>
          <w:tcPr>
            <w:tcW w:type="pct" w:w="28%"/>
            <w:tcMar>
              <w:top w:type="dxa" w:w="120"/>
              <w:left w:type="dxa" w:w="140"/>
              <w:bottom w:type="dxa" w:w="120"/>
              <w:right w:type="dxa" w:w="140"/>
            </w:tcMar>
          </w:tcPr>
          <w:p>
            <w:r>
              <w:rPr>
                <w:rFonts w:ascii="Aptos" w:cs="Aptos" w:eastAsia="Aptos" w:hAnsi="Aptos"/>
                <w:b w:val="false"/>
                <w:bCs w:val="false"/>
                <w:color w:val="222222"/>
                <w:sz w:val="20"/>
                <w:szCs w:val="20"/>
              </w:rPr>
              <w:t xml:space="preserve">Territory coverage</w:t>
            </w:r>
          </w:p>
        </w:tc>
        <w:tc>
          <w:tcPr>
            <w:tcW w:type="pct" w:w="72%"/>
            <w:tcMar>
              <w:top w:type="dxa" w:w="120"/>
              <w:left w:type="dxa" w:w="140"/>
              <w:bottom w:type="dxa" w:w="120"/>
              <w:right w:type="dxa" w:w="140"/>
            </w:tcMar>
          </w:tcPr>
          <w:p>
            <w:r>
              <w:rPr>
                <w:rFonts w:ascii="Aptos" w:cs="Aptos" w:eastAsia="Aptos" w:hAnsi="Aptos"/>
                <w:b w:val="false"/>
                <w:bCs w:val="false"/>
                <w:color w:val="222222"/>
                <w:sz w:val="20"/>
                <w:szCs w:val="20"/>
              </w:rPr>
              <w:t xml:space="preserve">Verify claimed reach against actual route counts, beat plans, and retail outlet numbers, not the state-level map the distributor shows you in the pitch deck.</w:t>
            </w:r>
          </w:p>
        </w:tc>
      </w:tr>
      <w:tr>
        <w:tc>
          <w:tcPr>
            <w:tcW w:type="pct" w:w="28%"/>
            <w:shd w:fill="F4F7FA" w:color="auto" w:val="clear"/>
            <w:tcMar>
              <w:top w:type="dxa" w:w="120"/>
              <w:left w:type="dxa" w:w="140"/>
              <w:bottom w:type="dxa" w:w="120"/>
              <w:right w:type="dxa" w:w="140"/>
            </w:tcMar>
          </w:tcPr>
          <w:p>
            <w:r>
              <w:rPr>
                <w:rFonts w:ascii="Aptos" w:cs="Aptos" w:eastAsia="Aptos" w:hAnsi="Aptos"/>
                <w:b w:val="false"/>
                <w:bCs w:val="false"/>
                <w:color w:val="222222"/>
                <w:sz w:val="20"/>
                <w:szCs w:val="20"/>
              </w:rPr>
              <w:t xml:space="preserve">Cold chain capability</w:t>
            </w:r>
          </w:p>
        </w:tc>
        <w:tc>
          <w:tcPr>
            <w:tcW w:type="pct" w:w="72%"/>
            <w:shd w:fill="F4F7FA" w:color="auto" w:val="clear"/>
            <w:tcMar>
              <w:top w:type="dxa" w:w="120"/>
              <w:left w:type="dxa" w:w="140"/>
              <w:bottom w:type="dxa" w:w="120"/>
              <w:right w:type="dxa" w:w="140"/>
            </w:tcMar>
          </w:tcPr>
          <w:p>
            <w:r>
              <w:rPr>
                <w:rFonts w:ascii="Aptos" w:cs="Aptos" w:eastAsia="Aptos" w:hAnsi="Aptos"/>
                <w:b w:val="false"/>
                <w:bCs w:val="false"/>
                <w:color w:val="222222"/>
                <w:sz w:val="20"/>
                <w:szCs w:val="20"/>
              </w:rPr>
              <w:t xml:space="preserve">For any perishable or temperature-sensitive product, confirm the distributor holds the correct FSSAI licence tier (State licence covers up to 50,000 MT capacity, Central above that, per enterclimate.com) and can document temperature logs at FSSAI-mandated bands, since India's cold storage capacity gap is estimated at around 8 million MT nationally per Rinac's 2026 industry guide, making genuinely cold-chain-capable distributors scarcer than most sales conversations suggest.</w:t>
            </w:r>
          </w:p>
        </w:tc>
      </w:tr>
      <w:tr>
        <w:tc>
          <w:tcPr>
            <w:tcW w:type="pct" w:w="28%"/>
            <w:tcMar>
              <w:top w:type="dxa" w:w="120"/>
              <w:left w:type="dxa" w:w="140"/>
              <w:bottom w:type="dxa" w:w="120"/>
              <w:right w:type="dxa" w:w="140"/>
            </w:tcMar>
          </w:tcPr>
          <w:p>
            <w:r>
              <w:rPr>
                <w:rFonts w:ascii="Aptos" w:cs="Aptos" w:eastAsia="Aptos" w:hAnsi="Aptos"/>
                <w:b w:val="false"/>
                <w:bCs w:val="false"/>
                <w:color w:val="222222"/>
                <w:sz w:val="20"/>
                <w:szCs w:val="20"/>
              </w:rPr>
              <w:t xml:space="preserve">Financial health</w:t>
            </w:r>
          </w:p>
        </w:tc>
        <w:tc>
          <w:tcPr>
            <w:tcW w:type="pct" w:w="72%"/>
            <w:tcMar>
              <w:top w:type="dxa" w:w="120"/>
              <w:left w:type="dxa" w:w="140"/>
              <w:bottom w:type="dxa" w:w="120"/>
              <w:right w:type="dxa" w:w="140"/>
            </w:tcMar>
          </w:tcPr>
          <w:p>
            <w:r>
              <w:rPr>
                <w:rFonts w:ascii="Aptos" w:cs="Aptos" w:eastAsia="Aptos" w:hAnsi="Aptos"/>
                <w:b w:val="false"/>
                <w:bCs w:val="false"/>
                <w:color w:val="222222"/>
                <w:sz w:val="20"/>
                <w:szCs w:val="20"/>
              </w:rPr>
              <w:t xml:space="preserve">Request audited financials and recent GST filings, per SignalX's due diligence checklist for Indian companies, and confirm the distributor has the working capital to fund your stock and credit cycle. A typical FMCG distributor already has roughly Rs 8 to 15 lakh locked in receivables and inventory at any given time, according to SpireStock's 2026 margin guide, so your brand is competing with existing principals for that same limited capital.</w:t>
            </w:r>
          </w:p>
        </w:tc>
      </w:tr>
      <w:tr>
        <w:tc>
          <w:tcPr>
            <w:tcW w:type="pct" w:w="28%"/>
            <w:shd w:fill="F4F7FA" w:color="auto" w:val="clear"/>
            <w:tcMar>
              <w:top w:type="dxa" w:w="120"/>
              <w:left w:type="dxa" w:w="140"/>
              <w:bottom w:type="dxa" w:w="120"/>
              <w:right w:type="dxa" w:w="140"/>
            </w:tcMar>
          </w:tcPr>
          <w:p>
            <w:r>
              <w:rPr>
                <w:rFonts w:ascii="Aptos" w:cs="Aptos" w:eastAsia="Aptos" w:hAnsi="Aptos"/>
                <w:b w:val="false"/>
                <w:bCs w:val="false"/>
                <w:color w:val="222222"/>
                <w:sz w:val="20"/>
                <w:szCs w:val="20"/>
              </w:rPr>
              <w:t xml:space="preserve">Existing brand portfolio conflicts</w:t>
            </w:r>
          </w:p>
        </w:tc>
        <w:tc>
          <w:tcPr>
            <w:tcW w:type="pct" w:w="72%"/>
            <w:shd w:fill="F4F7FA" w:color="auto" w:val="clear"/>
            <w:tcMar>
              <w:top w:type="dxa" w:w="120"/>
              <w:left w:type="dxa" w:w="140"/>
              <w:bottom w:type="dxa" w:w="120"/>
              <w:right w:type="dxa" w:w="140"/>
            </w:tcMar>
          </w:tcPr>
          <w:p>
            <w:r>
              <w:rPr>
                <w:rFonts w:ascii="Aptos" w:cs="Aptos" w:eastAsia="Aptos" w:hAnsi="Aptos"/>
                <w:b w:val="false"/>
                <w:bCs w:val="false"/>
                <w:color w:val="222222"/>
                <w:sz w:val="20"/>
                <w:szCs w:val="20"/>
              </w:rPr>
              <w:t xml:space="preserve">Ask directly which competing brands the distributor already carries, and verify rather than take the answer at face value. A distributor already funding a directly competing brand has a structural incentive to under-invest in yours regardless of what the appointment agreement says.</w:t>
            </w:r>
          </w:p>
        </w:tc>
      </w:tr>
      <w:tr>
        <w:tc>
          <w:tcPr>
            <w:tcW w:type="pct" w:w="28%"/>
            <w:tcMar>
              <w:top w:type="dxa" w:w="120"/>
              <w:left w:type="dxa" w:w="140"/>
              <w:bottom w:type="dxa" w:w="120"/>
              <w:right w:type="dxa" w:w="140"/>
            </w:tcMar>
          </w:tcPr>
          <w:p>
            <w:r>
              <w:rPr>
                <w:rFonts w:ascii="Aptos" w:cs="Aptos" w:eastAsia="Aptos" w:hAnsi="Aptos"/>
                <w:b w:val="false"/>
                <w:bCs w:val="false"/>
                <w:color w:val="222222"/>
                <w:sz w:val="20"/>
                <w:szCs w:val="20"/>
              </w:rPr>
              <w:t xml:space="preserve">Payment terms</w:t>
            </w:r>
          </w:p>
        </w:tc>
        <w:tc>
          <w:tcPr>
            <w:tcW w:type="pct" w:w="72%"/>
            <w:tcMar>
              <w:top w:type="dxa" w:w="120"/>
              <w:left w:type="dxa" w:w="140"/>
              <w:bottom w:type="dxa" w:w="120"/>
              <w:right w:type="dxa" w:w="140"/>
            </w:tcMar>
          </w:tcPr>
          <w:p>
            <w:r>
              <w:rPr>
                <w:rFonts w:ascii="Aptos" w:cs="Aptos" w:eastAsia="Aptos" w:hAnsi="Aptos"/>
                <w:b w:val="false"/>
                <w:bCs w:val="false"/>
                <w:color w:val="222222"/>
                <w:sz w:val="20"/>
                <w:szCs w:val="20"/>
              </w:rPr>
              <w:t xml:space="preserve">Clarify both sides: what the distributor expects from you as deferred payment on stock, commonly 30 to 90 days in FMCG vendor financing arrangements, per Credlix's vendor financing guide, and what credit the distributor in turn extends to retailers, typically 7 to 30 days and up to 60 days for large retail chains, per Credlix's FMCG distributor financing guide. A mismatch between the two is the working capital gap you will end up financing indirectly.</w:t>
            </w:r>
          </w:p>
        </w:tc>
      </w:tr>
      <w:tr>
        <w:tc>
          <w:tcPr>
            <w:tcW w:type="pct" w:w="28%"/>
            <w:shd w:fill="F4F7FA" w:color="auto" w:val="clear"/>
            <w:tcMar>
              <w:top w:type="dxa" w:w="120"/>
              <w:left w:type="dxa" w:w="140"/>
              <w:bottom w:type="dxa" w:w="120"/>
              <w:right w:type="dxa" w:w="140"/>
            </w:tcMar>
          </w:tcPr>
          <w:p>
            <w:r>
              <w:rPr>
                <w:rFonts w:ascii="Aptos" w:cs="Aptos" w:eastAsia="Aptos" w:hAnsi="Aptos"/>
                <w:b w:val="false"/>
                <w:bCs w:val="false"/>
                <w:color w:val="222222"/>
                <w:sz w:val="20"/>
                <w:szCs w:val="20"/>
              </w:rPr>
              <w:t xml:space="preserve">Owner versus professional management</w:t>
            </w:r>
          </w:p>
        </w:tc>
        <w:tc>
          <w:tcPr>
            <w:tcW w:type="pct" w:w="72%"/>
            <w:shd w:fill="F4F7FA" w:color="auto" w:val="clear"/>
            <w:tcMar>
              <w:top w:type="dxa" w:w="120"/>
              <w:left w:type="dxa" w:w="140"/>
              <w:bottom w:type="dxa" w:w="120"/>
              <w:right w:type="dxa" w:w="140"/>
            </w:tcMar>
          </w:tcPr>
          <w:p>
            <w:r>
              <w:rPr>
                <w:rFonts w:ascii="Aptos" w:cs="Aptos" w:eastAsia="Aptos" w:hAnsi="Aptos"/>
                <w:b w:val="false"/>
                <w:bCs w:val="false"/>
                <w:color w:val="222222"/>
                <w:sz w:val="20"/>
                <w:szCs w:val="20"/>
              </w:rPr>
              <w:t xml:space="preserve">Determine whether the business runs on a single owner's personal relationships and daily involvement, or has a genuine second layer of management. Due diligence specialists reviewing Indian SME partners consistently flag that these businesses are often built around the founder's relationships and direct involvement in a way that makes the business meaningfully weaker without them, per Maroon Advisors' due diligence guidance, which is an operational risk to your supply chain, not just a governance preference.</w:t>
            </w:r>
          </w:p>
        </w:tc>
      </w:tr>
    </w:tbl>
    <w:p>
      <w:pPr>
        <w:pStyle w:val="Heading1"/>
        <w:spacing w:after="160" w:before="360"/>
      </w:pPr>
      <w:r>
        <w:rPr>
          <w:rFonts w:ascii="Aptos" w:cs="Aptos" w:eastAsia="Aptos" w:hAnsi="Aptos"/>
          <w:b/>
          <w:bCs/>
          <w:color w:val="002A5C"/>
          <w:sz w:val="30"/>
          <w:szCs w:val="30"/>
        </w:rPr>
        <w:t xml:space="preserve">Three red flags most companies ignore</w:t>
      </w:r>
    </w:p>
    <w:p>
      <w:pPr>
        <w:spacing w:after="200" w:line="276"/>
      </w:pPr>
      <w:r>
        <w:rPr>
          <w:rFonts w:ascii="Aptos" w:cs="Aptos" w:eastAsia="Aptos" w:hAnsi="Aptos"/>
          <w:color w:val="222222"/>
          <w:sz w:val="22"/>
          <w:szCs w:val="22"/>
        </w:rPr>
        <w:t xml:space="preserve">Each of these shows up repeatedly in distributor failures GreyRadius has reviewed, and each is checkable before signature, not after.</w:t>
      </w:r>
    </w:p>
    <w:tbl>
      <w:tblPr>
        <w:tblW w:type="pct" w:w="100%"/>
        <w:tblBorders>
          <w:top w:val="single" w:color="003399" w:sz="6"/>
          <w:left w:val="single" w:color="003399" w:sz="6"/>
          <w:bottom w:val="single" w:color="003399" w:sz="6"/>
          <w:right w:val="single" w:color="003399" w:sz="6"/>
          <w:insideH w:val="none" w:color="FFFFFF" w:sz="0"/>
          <w:insideV w:val="none" w:color="FFFFFF" w:sz="0"/>
        </w:tblBorders>
      </w:tblPr>
      <w:tblGrid>
        <w:gridCol w:w="100"/>
      </w:tblGrid>
      <w:tr>
        <w:tc>
          <w:tcPr>
            <w:tcW w:type="pct" w:w="100%"/>
            <w:shd w:fill="EAF2FA" w:color="auto" w:val="clear"/>
            <w:tcMar>
              <w:top w:type="dxa" w:w="160"/>
              <w:left w:type="dxa" w:w="200"/>
              <w:bottom w:type="dxa" w:w="160"/>
              <w:right w:type="dxa" w:w="200"/>
            </w:tcMar>
          </w:tcPr>
          <w:p>
            <w:pPr>
              <w:spacing w:after="0"/>
            </w:pPr>
            <w:r>
              <w:rPr>
                <w:rFonts w:ascii="Aptos" w:cs="Aptos" w:eastAsia="Aptos" w:hAnsi="Aptos"/>
                <w:b/>
                <w:bCs/>
                <w:color w:val="002A5C"/>
                <w:sz w:val="22"/>
                <w:szCs w:val="22"/>
              </w:rPr>
              <w:t xml:space="preserve">Red flag 1: </w:t>
            </w:r>
            <w:r>
              <w:rPr>
                <w:rFonts w:ascii="Aptos" w:cs="Aptos" w:eastAsia="Aptos" w:hAnsi="Aptos"/>
                <w:color w:val="222222"/>
                <w:sz w:val="22"/>
                <w:szCs w:val="22"/>
              </w:rPr>
              <w:t xml:space="preserve">Reluctance to share GST returns, financial statements, or licensing documentation before the agreement is signed. Unwillingness to share licensing records is a well-established red flag in Indian business due diligence, per Trustiics' due diligence guide, and a distributor confident in its own standing has no reason to withhold this.</w:t>
            </w:r>
          </w:p>
        </w:tc>
      </w:tr>
    </w:tbl>
    <w:tbl>
      <w:tblPr>
        <w:tblW w:type="pct" w:w="100%"/>
        <w:tblBorders>
          <w:top w:val="single" w:color="003399" w:sz="6"/>
          <w:left w:val="single" w:color="003399" w:sz="6"/>
          <w:bottom w:val="single" w:color="003399" w:sz="6"/>
          <w:right w:val="single" w:color="003399" w:sz="6"/>
          <w:insideH w:val="none" w:color="FFFFFF" w:sz="0"/>
          <w:insideV w:val="none" w:color="FFFFFF" w:sz="0"/>
        </w:tblBorders>
      </w:tblPr>
      <w:tblGrid>
        <w:gridCol w:w="100"/>
      </w:tblGrid>
      <w:tr>
        <w:tc>
          <w:tcPr>
            <w:tcW w:type="pct" w:w="100%"/>
            <w:shd w:fill="EAF2FA" w:color="auto" w:val="clear"/>
            <w:tcMar>
              <w:top w:type="dxa" w:w="160"/>
              <w:left w:type="dxa" w:w="200"/>
              <w:bottom w:type="dxa" w:w="160"/>
              <w:right w:type="dxa" w:w="200"/>
            </w:tcMar>
          </w:tcPr>
          <w:p>
            <w:pPr>
              <w:spacing w:after="0"/>
            </w:pPr>
            <w:r>
              <w:rPr>
                <w:rFonts w:ascii="Aptos" w:cs="Aptos" w:eastAsia="Aptos" w:hAnsi="Aptos"/>
                <w:b/>
                <w:bCs/>
                <w:color w:val="002A5C"/>
                <w:sz w:val="22"/>
                <w:szCs w:val="22"/>
              </w:rPr>
              <w:t xml:space="preserve">Red flag 2: </w:t>
            </w:r>
            <w:r>
              <w:rPr>
                <w:rFonts w:ascii="Aptos" w:cs="Aptos" w:eastAsia="Aptos" w:hAnsi="Aptos"/>
                <w:color w:val="222222"/>
                <w:sz w:val="22"/>
                <w:szCs w:val="22"/>
              </w:rPr>
              <w:t xml:space="preserve">Undisclosed statutory disputes, particularly GST demands or labour and PF or ESI disputes. Due diligence specialists note these are especially common in Indian SME partners and are frequently left undisclosed because the promoter does not consider them "real" liabilities, per Maroon Advisors, which means you have to ask directly rather than wait for voluntary disclosure.</w:t>
            </w:r>
          </w:p>
        </w:tc>
      </w:tr>
    </w:tbl>
    <w:tbl>
      <w:tblPr>
        <w:tblW w:type="pct" w:w="100%"/>
        <w:tblBorders>
          <w:top w:val="single" w:color="003399" w:sz="6"/>
          <w:left w:val="single" w:color="003399" w:sz="6"/>
          <w:bottom w:val="single" w:color="003399" w:sz="6"/>
          <w:right w:val="single" w:color="003399" w:sz="6"/>
          <w:insideH w:val="none" w:color="FFFFFF" w:sz="0"/>
          <w:insideV w:val="none" w:color="FFFFFF" w:sz="0"/>
        </w:tblBorders>
      </w:tblPr>
      <w:tblGrid>
        <w:gridCol w:w="100"/>
      </w:tblGrid>
      <w:tr>
        <w:tc>
          <w:tcPr>
            <w:tcW w:type="pct" w:w="100%"/>
            <w:shd w:fill="EAF2FA" w:color="auto" w:val="clear"/>
            <w:tcMar>
              <w:top w:type="dxa" w:w="160"/>
              <w:left w:type="dxa" w:w="200"/>
              <w:bottom w:type="dxa" w:w="160"/>
              <w:right w:type="dxa" w:w="200"/>
            </w:tcMar>
          </w:tcPr>
          <w:p>
            <w:pPr>
              <w:spacing w:after="0"/>
            </w:pPr>
            <w:r>
              <w:rPr>
                <w:rFonts w:ascii="Aptos" w:cs="Aptos" w:eastAsia="Aptos" w:hAnsi="Aptos"/>
                <w:b/>
                <w:bCs/>
                <w:color w:val="002A5C"/>
                <w:sz w:val="22"/>
                <w:szCs w:val="22"/>
              </w:rPr>
              <w:t xml:space="preserve">Red flag 3: </w:t>
            </w:r>
            <w:r>
              <w:rPr>
                <w:rFonts w:ascii="Aptos" w:cs="Aptos" w:eastAsia="Aptos" w:hAnsi="Aptos"/>
                <w:color w:val="222222"/>
                <w:sz w:val="22"/>
                <w:szCs w:val="22"/>
              </w:rPr>
              <w:t xml:space="preserve">A business entirely dependent on one person with no second layer of management, discussed above as an evaluation criterion but worth repeating as a standalone red flag: if the owner is unavailable for an extended period, does the business still function. If the honest answer is no, you are one health event or family situation away from a supply chain gap.</w:t>
            </w:r>
          </w:p>
        </w:tc>
      </w:tr>
    </w:tbl>
    <w:p>
      <w:pPr>
        <w:pStyle w:val="Heading1"/>
        <w:spacing w:after="160" w:before="360"/>
      </w:pPr>
      <w:r>
        <w:rPr>
          <w:rFonts w:ascii="Aptos" w:cs="Aptos" w:eastAsia="Aptos" w:hAnsi="Aptos"/>
          <w:b/>
          <w:bCs/>
          <w:color w:val="002A5C"/>
          <w:sz w:val="30"/>
          <w:szCs w:val="30"/>
        </w:rPr>
        <w:t xml:space="preserve">FAQs</w:t>
      </w:r>
    </w:p>
    <w:p>
      <w:pPr>
        <w:pStyle w:val="Heading2"/>
        <w:spacing w:after="120" w:before="260"/>
      </w:pPr>
      <w:r>
        <w:rPr>
          <w:rFonts w:ascii="Aptos" w:cs="Aptos" w:eastAsia="Aptos" w:hAnsi="Aptos"/>
          <w:b/>
          <w:bCs/>
          <w:color w:val="003399"/>
          <w:sz w:val="24"/>
          <w:szCs w:val="24"/>
        </w:rPr>
        <w:t xml:space="preserve">How do I find a national distributor in India?</w:t>
      </w:r>
    </w:p>
    <w:p>
      <w:pPr>
        <w:spacing w:after="200" w:line="276"/>
      </w:pPr>
      <w:r>
        <w:rPr>
          <w:rFonts w:ascii="Aptos" w:cs="Aptos" w:eastAsia="Aptos" w:hAnsi="Aptos"/>
          <w:color w:val="222222"/>
          <w:sz w:val="22"/>
          <w:szCs w:val="22"/>
        </w:rPr>
        <w:t xml:space="preserve">Strictly speaking, you usually do not, at least not as a single appointment. Large FMCG companies typically operate 40 to 80 regional distributors to achieve national coverage, according to the US Commercial Service's India distribution guide. The practical approach is to run the four-channel search, trade associations, industry events, competitor distributor mapping, and referral networks, at a state or regional cluster level, then stitch together a network, often anchored by super-stockists in hub towns who in turn supply smaller town distributors.</w:t>
      </w:r>
    </w:p>
    <w:p>
      <w:pPr>
        <w:pStyle w:val="Heading2"/>
        <w:spacing w:after="120" w:before="260"/>
      </w:pPr>
      <w:r>
        <w:rPr>
          <w:rFonts w:ascii="Aptos" w:cs="Aptos" w:eastAsia="Aptos" w:hAnsi="Aptos"/>
          <w:b/>
          <w:bCs/>
          <w:color w:val="003399"/>
          <w:sz w:val="24"/>
          <w:szCs w:val="24"/>
        </w:rPr>
        <w:t xml:space="preserve">What makes a good FMCG distributor in India?</w:t>
      </w:r>
    </w:p>
    <w:p>
      <w:pPr>
        <w:spacing w:after="200" w:line="276"/>
      </w:pPr>
      <w:r>
        <w:rPr>
          <w:rFonts w:ascii="Aptos" w:cs="Aptos" w:eastAsia="Aptos" w:hAnsi="Aptos"/>
          <w:color w:val="222222"/>
          <w:sz w:val="22"/>
          <w:szCs w:val="22"/>
        </w:rPr>
        <w:t xml:space="preserve">A good distributor scores well across all six evaluation criteria simultaneously, not just one or two. Verified territory coverage matched to actual outlet counts, the correct cold chain licensing and capability where relevant, financial health sufficient to fund your stock and credit cycle, no conflicting brand in their existing portfolio, payment terms that do not create a working capital gap, and a management structure that does not collapse if one person is unavailable. Distributors that look strong on reach alone but fail two or three of the other criteria are the ones that underperform after the first two quarters.</w:t>
      </w:r>
    </w:p>
    <w:p>
      <w:pPr>
        <w:pStyle w:val="Heading2"/>
        <w:spacing w:after="120" w:before="260"/>
      </w:pPr>
      <w:r>
        <w:rPr>
          <w:rFonts w:ascii="Aptos" w:cs="Aptos" w:eastAsia="Aptos" w:hAnsi="Aptos"/>
          <w:b/>
          <w:bCs/>
          <w:color w:val="003399"/>
          <w:sz w:val="24"/>
          <w:szCs w:val="24"/>
        </w:rPr>
        <w:t xml:space="preserve">How long does distributor selection take?</w:t>
      </w:r>
    </w:p>
    <w:p>
      <w:pPr>
        <w:spacing w:after="200" w:line="276"/>
      </w:pPr>
      <w:r>
        <w:rPr>
          <w:rFonts w:ascii="Aptos" w:cs="Aptos" w:eastAsia="Aptos" w:hAnsi="Aptos"/>
          <w:color w:val="222222"/>
          <w:sz w:val="22"/>
          <w:szCs w:val="22"/>
        </w:rPr>
        <w:t xml:space="preserve">For a single distributor once documentation is in order, finalising the appointment commonly takes two to four weeks, according to Indiandistributorship's grocery distributorship guide. But that figure covers only the final step. Full due diligence on an Indian business partner can take anywhere from a few weeks to several months depending on complexity, per SignalX's due diligence guide. A realistic combined estimate for one region, sourcing candidates through all four channels, running the six-criteria evaluation, and finalising the agreement, is six to ten weeks. Building out a multi-region network extends that considerably, since each region effectively repeats the process.</w:t>
      </w:r>
    </w:p>
    <w:p>
      <w:pPr>
        <w:pStyle w:val="Heading2"/>
        <w:spacing w:after="120" w:before="260"/>
      </w:pPr>
      <w:r>
        <w:rPr>
          <w:rFonts w:ascii="Aptos" w:cs="Aptos" w:eastAsia="Aptos" w:hAnsi="Aptos"/>
          <w:b/>
          <w:bCs/>
          <w:color w:val="003399"/>
          <w:sz w:val="24"/>
          <w:szCs w:val="24"/>
        </w:rPr>
        <w:t xml:space="preserve">What payment terms are standard for Indian distributors?</w:t>
      </w:r>
    </w:p>
    <w:p>
      <w:pPr>
        <w:spacing w:after="200" w:line="276"/>
      </w:pPr>
      <w:r>
        <w:rPr>
          <w:rFonts w:ascii="Aptos" w:cs="Aptos" w:eastAsia="Aptos" w:hAnsi="Aptos"/>
          <w:color w:val="222222"/>
          <w:sz w:val="22"/>
          <w:szCs w:val="22"/>
        </w:rPr>
        <w:t xml:space="preserve">Two separate payment relationships exist and should not be confused. From manufacturer to distributor, deferred payment terms of 30, 60, or 90 days are standard in FMCG vendor financing arrangements, per Credlix's vendor financing guide. From distributor to retailer, credit periods are shorter, typically 7 to 30 days, extending to 30 to 60 days for large retail chains, according to Credlix's separate FMCG distributor financing guide. Separately, most companies also require a refundable security deposit at appointment, commonly in the range of Rs 15 lakh to Rs 50 lakh depending on the brand, per Indiandistributorship's guide, which should be underwritten as part of the financial health check, not treated as a formality.</w:t>
      </w:r>
    </w:p>
    <w:p>
      <w:pPr>
        <w:pStyle w:val="Heading1"/>
        <w:spacing w:after="160" w:before="360"/>
      </w:pPr>
      <w:r>
        <w:rPr>
          <w:rFonts w:ascii="Aptos" w:cs="Aptos" w:eastAsia="Aptos" w:hAnsi="Aptos"/>
          <w:b/>
          <w:bCs/>
          <w:color w:val="002A5C"/>
          <w:sz w:val="30"/>
          <w:szCs w:val="30"/>
        </w:rPr>
        <w:t xml:space="preserve">Conclusion</w:t>
      </w:r>
    </w:p>
    <w:p>
      <w:pPr>
        <w:spacing w:after="200" w:line="276"/>
      </w:pPr>
      <w:r>
        <w:rPr>
          <w:rFonts w:ascii="Aptos" w:cs="Aptos" w:eastAsia="Aptos" w:hAnsi="Aptos"/>
          <w:color w:val="222222"/>
          <w:sz w:val="22"/>
          <w:szCs w:val="22"/>
        </w:rPr>
        <w:t xml:space="preserve">Pick one target region this week and run all four sourcing channels against it in parallel, not sequentially: pull the AICPDF regional chapter contact, check the calendar for the nearest relevant trade event, run a competitor distributor mapping pass against import and customs data for your category, and ask two non-competing distributor or C&amp;F contacts for referrals. You should have a shortlist of three to five real candidates within two to three weeks.</w:t>
      </w:r>
    </w:p>
    <w:p>
      <w:pPr>
        <w:spacing w:after="200" w:line="276"/>
      </w:pPr>
      <w:r>
        <w:rPr>
          <w:rFonts w:ascii="Aptos" w:cs="Aptos" w:eastAsia="Aptos" w:hAnsi="Aptos"/>
          <w:color w:val="222222"/>
          <w:sz w:val="22"/>
          <w:szCs w:val="22"/>
        </w:rPr>
        <w:t xml:space="preserve">Score every candidate on the same six-criteria table before any commercial conversation goes further, and ask the three red-flag questions directly rather than waiting for voluntary disclosure. GreyRadius runs this exact sourcing-and-evaluation process for clients building or rebuilding India distribution networks, region by region, with the trade-data cross-referencing and financial due diligence handled in-house. If you are choosing your first, or your next, Indian distribution partner, start with one region and this scorecard before you start any commercial conversation.</w:t>
      </w:r>
    </w:p>
    <w:p>
      <w:pPr>
        <w:pStyle w:val="Heading1"/>
        <w:spacing w:after="160" w:before="360"/>
      </w:pPr>
      <w:r>
        <w:rPr>
          <w:rFonts w:ascii="Aptos" w:cs="Aptos" w:eastAsia="Aptos" w:hAnsi="Aptos"/>
          <w:b/>
          <w:bCs/>
          <w:color w:val="002A5C"/>
          <w:sz w:val="30"/>
          <w:szCs w:val="30"/>
        </w:rPr>
        <w:t xml:space="preserve">Official references</w:t>
      </w:r>
    </w:p>
    <w:p>
      <w:pPr>
        <w:pStyle w:val="ListParagraph"/>
        <w:numPr>
          <w:ilvl w:val="0"/>
          <w:numId w:val="2"/>
        </w:numPr>
        <w:spacing w:after="100"/>
      </w:pPr>
      <w:hyperlink w:history="1" r:id="rIdfnuwxnly2am6v_r0ntjns">
        <w:r>
          <w:rPr>
            <w:rFonts w:ascii="Aptos" w:cs="Aptos" w:eastAsia="Aptos" w:hAnsi="Aptos"/>
            <w:color w:val="003399"/>
            <w:sz w:val="21"/>
            <w:szCs w:val="21"/>
            <w:u w:val="single"/>
          </w:rPr>
          <w:t xml:space="preserve">US Commercial Service - India distribution and sales channels guide</w:t>
        </w:r>
      </w:hyperlink>
    </w:p>
    <w:p>
      <w:pPr>
        <w:pStyle w:val="ListParagraph"/>
        <w:numPr>
          <w:ilvl w:val="0"/>
          <w:numId w:val="2"/>
        </w:numPr>
        <w:spacing w:after="100"/>
      </w:pPr>
      <w:hyperlink w:history="1" r:id="rIdouno-lv744i2hbaxgwa7v">
        <w:r>
          <w:rPr>
            <w:rFonts w:ascii="Aptos" w:cs="Aptos" w:eastAsia="Aptos" w:hAnsi="Aptos"/>
            <w:color w:val="003399"/>
            <w:sz w:val="21"/>
            <w:szCs w:val="21"/>
            <w:u w:val="single"/>
          </w:rPr>
          <w:t xml:space="preserve">AICPDF - All India Consumer Products Distributors Federation</w:t>
        </w:r>
      </w:hyperlink>
    </w:p>
    <w:p>
      <w:pPr>
        <w:pStyle w:val="ListParagraph"/>
        <w:numPr>
          <w:ilvl w:val="0"/>
          <w:numId w:val="2"/>
        </w:numPr>
        <w:spacing w:after="100"/>
      </w:pPr>
      <w:hyperlink w:history="1" r:id="rIdwjghlntrlt6n5sgw2aw12">
        <w:r>
          <w:rPr>
            <w:rFonts w:ascii="Aptos" w:cs="Aptos" w:eastAsia="Aptos" w:hAnsi="Aptos"/>
            <w:color w:val="003399"/>
            <w:sz w:val="21"/>
            <w:szCs w:val="21"/>
            <w:u w:val="single"/>
          </w:rPr>
          <w:t xml:space="preserve">CMPL Expo - Contract Manufacturing &amp; Private Label Expo, Delhi and Mumbai</w:t>
        </w:r>
      </w:hyperlink>
    </w:p>
    <w:p>
      <w:pPr>
        <w:pStyle w:val="ListParagraph"/>
        <w:numPr>
          <w:ilvl w:val="0"/>
          <w:numId w:val="2"/>
        </w:numPr>
        <w:spacing w:after="100"/>
      </w:pPr>
      <w:hyperlink w:history="1" r:id="rIdgtbnxmdknffc-gb3stcyr">
        <w:r>
          <w:rPr>
            <w:rFonts w:ascii="Aptos" w:cs="Aptos" w:eastAsia="Aptos" w:hAnsi="Aptos"/>
            <w:color w:val="003399"/>
            <w:sz w:val="21"/>
            <w:szCs w:val="21"/>
            <w:u w:val="single"/>
          </w:rPr>
          <w:t xml:space="preserve">Fi India / ProPak India - Mumbai food ingredients and packaging event</w:t>
        </w:r>
      </w:hyperlink>
    </w:p>
    <w:p>
      <w:pPr>
        <w:pStyle w:val="ListParagraph"/>
        <w:numPr>
          <w:ilvl w:val="0"/>
          <w:numId w:val="2"/>
        </w:numPr>
        <w:spacing w:after="100"/>
      </w:pPr>
      <w:hyperlink w:history="1" r:id="rId2h2tygu9nxcuuoaphfl4j">
        <w:r>
          <w:rPr>
            <w:rFonts w:ascii="Aptos" w:cs="Aptos" w:eastAsia="Aptos" w:hAnsi="Aptos"/>
            <w:color w:val="003399"/>
            <w:sz w:val="21"/>
            <w:szCs w:val="21"/>
            <w:u w:val="single"/>
          </w:rPr>
          <w:t xml:space="preserve">FMCG BizConnect Expo - Raipur regional distributor expo</w:t>
        </w:r>
      </w:hyperlink>
    </w:p>
    <w:p>
      <w:pPr>
        <w:pStyle w:val="ListParagraph"/>
        <w:numPr>
          <w:ilvl w:val="0"/>
          <w:numId w:val="2"/>
        </w:numPr>
        <w:spacing w:after="100"/>
      </w:pPr>
      <w:hyperlink w:history="1" r:id="rIdwcw9fo7w984yungkn7cbo">
        <w:r>
          <w:rPr>
            <w:rFonts w:ascii="Aptos" w:cs="Aptos" w:eastAsia="Aptos" w:hAnsi="Aptos"/>
            <w:color w:val="003399"/>
            <w:sz w:val="21"/>
            <w:szCs w:val="21"/>
            <w:u w:val="single"/>
          </w:rPr>
          <w:t xml:space="preserve">Indiandistributorship - Grocery and FMCG distributorship guide (security deposit, timelines)</w:t>
        </w:r>
      </w:hyperlink>
    </w:p>
    <w:p>
      <w:pPr>
        <w:pStyle w:val="ListParagraph"/>
        <w:numPr>
          <w:ilvl w:val="0"/>
          <w:numId w:val="2"/>
        </w:numPr>
        <w:spacing w:after="100"/>
      </w:pPr>
      <w:hyperlink w:history="1" r:id="rIdzineb37jbil8sz6jkv4ga">
        <w:r>
          <w:rPr>
            <w:rFonts w:ascii="Aptos" w:cs="Aptos" w:eastAsia="Aptos" w:hAnsi="Aptos"/>
            <w:color w:val="003399"/>
            <w:sz w:val="21"/>
            <w:szCs w:val="21"/>
            <w:u w:val="single"/>
          </w:rPr>
          <w:t xml:space="preserve">Tradologie - Top FMCG distributorship brands in India (CAPEX, ROI figures)</w:t>
        </w:r>
      </w:hyperlink>
    </w:p>
    <w:p>
      <w:pPr>
        <w:pStyle w:val="ListParagraph"/>
        <w:numPr>
          <w:ilvl w:val="0"/>
          <w:numId w:val="2"/>
        </w:numPr>
        <w:spacing w:after="100"/>
      </w:pPr>
      <w:hyperlink w:history="1" r:id="rIdtmj_sxemyt3y6wdgsu4s6">
        <w:r>
          <w:rPr>
            <w:rFonts w:ascii="Aptos" w:cs="Aptos" w:eastAsia="Aptos" w:hAnsi="Aptos"/>
            <w:color w:val="003399"/>
            <w:sz w:val="21"/>
            <w:szCs w:val="21"/>
            <w:u w:val="single"/>
          </w:rPr>
          <w:t xml:space="preserve">SpireStock - FMCG distributor margin and profit guide, India 2026</w:t>
        </w:r>
      </w:hyperlink>
    </w:p>
    <w:p>
      <w:pPr>
        <w:pStyle w:val="ListParagraph"/>
        <w:numPr>
          <w:ilvl w:val="0"/>
          <w:numId w:val="2"/>
        </w:numPr>
        <w:spacing w:after="100"/>
      </w:pPr>
      <w:hyperlink w:history="1" r:id="rId-v0rp5_fzpwwsgwndb6lb">
        <w:r>
          <w:rPr>
            <w:rFonts w:ascii="Aptos" w:cs="Aptos" w:eastAsia="Aptos" w:hAnsi="Aptos"/>
            <w:color w:val="003399"/>
            <w:sz w:val="21"/>
            <w:szCs w:val="21"/>
            <w:u w:val="single"/>
          </w:rPr>
          <w:t xml:space="preserve">Credlix - Vendor financing for FMCG distributors</w:t>
        </w:r>
      </w:hyperlink>
    </w:p>
    <w:p>
      <w:pPr>
        <w:pStyle w:val="ListParagraph"/>
        <w:numPr>
          <w:ilvl w:val="0"/>
          <w:numId w:val="2"/>
        </w:numPr>
        <w:spacing w:after="100"/>
      </w:pPr>
      <w:hyperlink w:history="1" r:id="rIdhumv-xkqtq1fferl6t0yj">
        <w:r>
          <w:rPr>
            <w:rFonts w:ascii="Aptos" w:cs="Aptos" w:eastAsia="Aptos" w:hAnsi="Aptos"/>
            <w:color w:val="003399"/>
            <w:sz w:val="21"/>
            <w:szCs w:val="21"/>
            <w:u w:val="single"/>
          </w:rPr>
          <w:t xml:space="preserve">Credlix - FMCG distributor financing, a complete guide</w:t>
        </w:r>
      </w:hyperlink>
    </w:p>
    <w:p>
      <w:pPr>
        <w:pStyle w:val="ListParagraph"/>
        <w:numPr>
          <w:ilvl w:val="0"/>
          <w:numId w:val="2"/>
        </w:numPr>
        <w:spacing w:after="100"/>
      </w:pPr>
      <w:hyperlink w:history="1" r:id="rIdaatnblxqacwuka3vfbcxa">
        <w:r>
          <w:rPr>
            <w:rFonts w:ascii="Aptos" w:cs="Aptos" w:eastAsia="Aptos" w:hAnsi="Aptos"/>
            <w:color w:val="003399"/>
            <w:sz w:val="21"/>
            <w:szCs w:val="21"/>
            <w:u w:val="single"/>
          </w:rPr>
          <w:t xml:space="preserve">Trustiics - Due diligence in India, how to verify companies</w:t>
        </w:r>
      </w:hyperlink>
    </w:p>
    <w:p>
      <w:pPr>
        <w:pStyle w:val="ListParagraph"/>
        <w:numPr>
          <w:ilvl w:val="0"/>
          <w:numId w:val="2"/>
        </w:numPr>
        <w:spacing w:after="100"/>
      </w:pPr>
      <w:hyperlink w:history="1" r:id="rId5ymfp2_jzyyhht38irfru">
        <w:r>
          <w:rPr>
            <w:rFonts w:ascii="Aptos" w:cs="Aptos" w:eastAsia="Aptos" w:hAnsi="Aptos"/>
            <w:color w:val="003399"/>
            <w:sz w:val="21"/>
            <w:szCs w:val="21"/>
            <w:u w:val="single"/>
          </w:rPr>
          <w:t xml:space="preserve">SignalX - Checklist for due diligence of an Indian company</w:t>
        </w:r>
      </w:hyperlink>
    </w:p>
    <w:p>
      <w:pPr>
        <w:pStyle w:val="ListParagraph"/>
        <w:numPr>
          <w:ilvl w:val="0"/>
          <w:numId w:val="2"/>
        </w:numPr>
        <w:spacing w:after="100"/>
      </w:pPr>
      <w:hyperlink w:history="1" r:id="rIdmox0o8l_81jtcsvwbdona">
        <w:r>
          <w:rPr>
            <w:rFonts w:ascii="Aptos" w:cs="Aptos" w:eastAsia="Aptos" w:hAnsi="Aptos"/>
            <w:color w:val="003399"/>
            <w:sz w:val="21"/>
            <w:szCs w:val="21"/>
            <w:u w:val="single"/>
          </w:rPr>
          <w:t xml:space="preserve">Maroon Advisors - Due diligence red flags every acquirer should know</w:t>
        </w:r>
      </w:hyperlink>
    </w:p>
    <w:p>
      <w:pPr>
        <w:pStyle w:val="ListParagraph"/>
        <w:numPr>
          <w:ilvl w:val="0"/>
          <w:numId w:val="2"/>
        </w:numPr>
        <w:spacing w:after="100"/>
      </w:pPr>
      <w:hyperlink w:history="1" r:id="rIdawavcd96smybyhan1ycyj">
        <w:r>
          <w:rPr>
            <w:rFonts w:ascii="Aptos" w:cs="Aptos" w:eastAsia="Aptos" w:hAnsi="Aptos"/>
            <w:color w:val="003399"/>
            <w:sz w:val="21"/>
            <w:szCs w:val="21"/>
            <w:u w:val="single"/>
          </w:rPr>
          <w:t xml:space="preserve">Enterclimate - Licenses required for chilling plants and cold storage</w:t>
        </w:r>
      </w:hyperlink>
    </w:p>
    <w:p>
      <w:pPr>
        <w:pStyle w:val="ListParagraph"/>
        <w:numPr>
          <w:ilvl w:val="0"/>
          <w:numId w:val="2"/>
        </w:numPr>
        <w:spacing w:after="100"/>
      </w:pPr>
      <w:hyperlink w:history="1" r:id="rIdoznhj4c4ilxll5l6jd7ux">
        <w:r>
          <w:rPr>
            <w:rFonts w:ascii="Aptos" w:cs="Aptos" w:eastAsia="Aptos" w:hAnsi="Aptos"/>
            <w:color w:val="003399"/>
            <w:sz w:val="21"/>
            <w:szCs w:val="21"/>
            <w:u w:val="single"/>
          </w:rPr>
          <w:t xml:space="preserve">Rinac - Cold storage warehouse guide, India 2026 (capacity gap)</w:t>
        </w:r>
      </w:hyperlink>
    </w:p>
    <w:p>
      <w:pPr>
        <w:spacing w:after="160"/>
      </w:pPr>
    </w:p>
    <w:p>
      <w:pPr>
        <w:spacing w:after="0"/>
      </w:pPr>
      <w:r>
        <w:rPr>
          <w:rFonts w:ascii="Aptos" w:cs="Aptos" w:eastAsia="Aptos" w:hAnsi="Aptos"/>
          <w:i/>
          <w:iCs/>
          <w:color w:val="666F7A"/>
          <w:sz w:val="18"/>
          <w:szCs w:val="18"/>
        </w:rPr>
        <w:t xml:space="preserve">Source note: figures on distributor economics, security deposits, and licensing thresholds reflect publicly available guidance as of mid-2026 and vary by brand, category, and state. Verify current terms directly with AICPDF, FSSAI, and prospective distributors before finalising any appointment.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nuwxnly2am6v_r0ntjns" Type="http://schemas.openxmlformats.org/officeDocument/2006/relationships/hyperlink" Target="https://www.trade.gov/country-commercial-guides/india-distribution-and-sales-channels-0" TargetMode="External"/><Relationship Id="rIdouno-lv744i2hbaxgwa7v" Type="http://schemas.openxmlformats.org/officeDocument/2006/relationships/hyperlink" Target="https://aicpdf.com/" TargetMode="External"/><Relationship Id="rIdwjghlntrlt6n5sgw2aw12" Type="http://schemas.openxmlformats.org/officeDocument/2006/relationships/hyperlink" Target="https://www.cmplexpo.com/" TargetMode="External"/><Relationship Id="rIdgtbnxmdknffc-gb3stcyr" Type="http://schemas.openxmlformats.org/officeDocument/2006/relationships/hyperlink" Target="https://propakindia.com/" TargetMode="External"/><Relationship Id="rId2h2tygu9nxcuuoaphfl4j" Type="http://schemas.openxmlformats.org/officeDocument/2006/relationships/hyperlink" Target="https://fmcgbizconnectexpo.com/" TargetMode="External"/><Relationship Id="rIdwcw9fo7w984yungkn7cbo" Type="http://schemas.openxmlformats.org/officeDocument/2006/relationships/hyperlink" Target="https://indiandistributorship.com/grocery-distributorship/" TargetMode="External"/><Relationship Id="rIdzineb37jbil8sz6jkv4ga" Type="http://schemas.openxmlformats.org/officeDocument/2006/relationships/hyperlink" Target="https://www.tradologie.com/blogs/20-fmcg-brands-offering-distributorship-in-india/" TargetMode="External"/><Relationship Id="rIdtmj_sxemyt3y6wdgsu4s6" Type="http://schemas.openxmlformats.org/officeDocument/2006/relationships/hyperlink" Target="https://spirestock.com/blog/fmcg-distributor-margin-profit-guide-india" TargetMode="External"/><Relationship Id="rId-v0rp5_fzpwwsgwndb6lb" Type="http://schemas.openxmlformats.org/officeDocument/2006/relationships/hyperlink" Target="https://www.credlix.com/blogs/vendor-financing-for-fmcg-distributors-ensuring-smooth-cash-flow" TargetMode="External"/><Relationship Id="rIdhumv-xkqtq1fferl6t0yj" Type="http://schemas.openxmlformats.org/officeDocument/2006/relationships/hyperlink" Target="https://www.credlix.com/blogs/fmcg-distributor-financing-a-complete-guide-to-faster-cash-flow" TargetMode="External"/><Relationship Id="rIdaatnblxqacwuka3vfbcxa" Type="http://schemas.openxmlformats.org/officeDocument/2006/relationships/hyperlink" Target="https://www.trustiics.com/posts/india-due-diligence-guide" TargetMode="External"/><Relationship Id="rId5ymfp2_jzyyhht38irfru" Type="http://schemas.openxmlformats.org/officeDocument/2006/relationships/hyperlink" Target="https://signalx.ai/checklist-for-due-diligence-of-indian-company/" TargetMode="External"/><Relationship Id="rIdmox0o8l_81jtcsvwbdona" Type="http://schemas.openxmlformats.org/officeDocument/2006/relationships/hyperlink" Target="https://maroonadvisors.co/article-due-diligence" TargetMode="External"/><Relationship Id="rIdawavcd96smybyhan1ycyj" Type="http://schemas.openxmlformats.org/officeDocument/2006/relationships/hyperlink" Target="https://enterclimate.com/blog/what-licenses-are-required-for-chilling-plants-and-cold-storage/" TargetMode="External"/><Relationship Id="rIdoznhj4c4ilxll5l6jd7ux" Type="http://schemas.openxmlformats.org/officeDocument/2006/relationships/hyperlink" Target="https://rinac.com/blog/cold-storage-warehouse-india-2026-guide/"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2026-07-10T08:29:17.399Z</dcterms:created>
  <dcterms:modified xsi:type="dcterms:W3CDTF">2026-07-10T08:29:17.424Z</dcterms:modified>
</cp:coreProperties>
</file>

<file path=docProps/custom.xml><?xml version="1.0" encoding="utf-8"?>
<Properties xmlns="http://schemas.openxmlformats.org/officeDocument/2006/custom-properties" xmlns:vt="http://schemas.openxmlformats.org/officeDocument/2006/docPropsVTypes"/>
</file>