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Strategy Was Approved. Market Access Wasn't.</w:t>
      </w:r>
    </w:p>
    <w:p>
      <w:r>
        <w:rPr>
          <w:i/>
        </w:rPr>
        <w:t>How GreyRadius helped a European pharmaceutical company align SFDA approval with hospital access to accelerate commercial launch in Saudi Arabia.</w:t>
      </w:r>
    </w:p>
    <w:p>
      <w:pPr>
        <w:pStyle w:val="Heading2"/>
      </w:pPr>
      <w:r>
        <w:t>Context</w:t>
      </w:r>
    </w:p>
    <w:p>
      <w:r>
        <w:t>A European pharmaceutical company was preparing to enter Saudi Arabia with a branded prescription portfolio targeting institutional healthcare providers. Leadership initially viewed SFDA registration as the primary milestone. However, commercial success depended equally on hospital procurement, formulary access, and distribution readiness. Treating approval as the finish line risked delaying revenue despite regulatory success.</w:t>
      </w:r>
    </w:p>
    <w:p>
      <w:pPr>
        <w:pStyle w:val="Heading2"/>
      </w:pPr>
      <w:r>
        <w:t>The Core Challenge</w:t>
      </w:r>
    </w:p>
    <w:p>
      <w:r>
        <w:t>The visible problem appeared to be regulatory complexity. The structural issue was fragmented ownership across regulatory, medical, commercial, and distribution functions. Each operated on separate timelines, creating execution dependency and delaying hospital adoption after approval. Leadership realized SFDA approval alone did not create market access.</w:t>
      </w:r>
    </w:p>
    <w:p>
      <w:pPr>
        <w:pStyle w:val="Heading2"/>
      </w:pPr>
      <w:r>
        <w:t>The Decision Shift</w:t>
      </w:r>
    </w:p>
    <w:p>
      <w:r>
        <w:t>The company shifted from a registration-first approach to a market-access-led operating model. SFDA registration, hospital formulary planning, distributor readiness, and commercial launch were aligned within a single execution roadmap. Execution maturity—not regulatory completion—became the leading indicator of launch success.</w:t>
      </w:r>
    </w:p>
    <w:p>
      <w:pPr>
        <w:pStyle w:val="Heading2"/>
      </w:pPr>
      <w:r>
        <w:t>What Changed in Execution</w:t>
      </w:r>
    </w:p>
    <w:p>
      <w:r>
        <w:t>Execution moved from sequential handoffs to parallel coordination. Hospital targeting began before approval, distributor selection emphasized institutional capability, and regulatory, medical, and commercial teams worked against shared milestones. Cross-functional governance improved execution visibility and reduced decision bottlenecks.</w:t>
      </w:r>
    </w:p>
    <w:p>
      <w:pPr>
        <w:pStyle w:val="Heading2"/>
      </w:pPr>
      <w:r>
        <w:t>Business Impact Delivered</w:t>
      </w:r>
    </w:p>
    <w:p>
      <w:r>
        <w:t>Earlier hospital engagement reduced post-approval delays. Commercial launch became more predictable, distributor readiness improved institutional activation, and leadership gained greater confidence in launch timing. The operating model also supported future portfolio expansion.</w:t>
      </w:r>
    </w:p>
    <w:p>
      <w:pPr>
        <w:pStyle w:val="Heading2"/>
      </w:pPr>
      <w:r>
        <w:t>Key Outcomes</w:t>
      </w:r>
    </w:p>
    <w:p>
      <w:r>
        <w:t>• SFDA registration timeline: approximately 9–12 months.</w:t>
        <w:br/>
        <w:t>• First hospital formulary listings: within 3–6 months after approval.</w:t>
        <w:br/>
        <w:t>• First commercial sales: within 60–90 days of initial formulary inclusion.</w:t>
        <w:br/>
        <w:br/>
        <w:t>Executive Insight: Regulatory approval enables market entry, but integrated hospital access and distribution determine how quickly approval becomes revenue.</w:t>
      </w:r>
    </w:p>
    <w:p>
      <w:r>
        <w:br w:type="page"/>
      </w:r>
    </w:p>
    <w:p>
      <w:pPr>
        <w:pStyle w:val="Heading1"/>
      </w:pPr>
      <w:r>
        <w:t>1-Slide Executive Version</w:t>
      </w:r>
    </w:p>
    <w:p>
      <w:pPr>
        <w:pStyle w:val="Heading2"/>
      </w:pPr>
      <w:r>
        <w:t>Strategy Was Approved. Market Access Wasn't.</w:t>
      </w:r>
    </w:p>
    <w:p>
      <w:pPr>
        <w:pStyle w:val="IntenseQuote"/>
      </w:pPr>
      <w:r>
        <w:t>How GreyRadius helped a European pharmaceutical company align SFDA approval with hospital access to accelerate commercial launch in Saudi Arabia.</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Executive Summary</w:t>
            </w:r>
          </w:p>
        </w:tc>
      </w:tr>
      <w:tr>
        <w:tc>
          <w:tcPr>
            <w:tcW w:type="dxa" w:w="4320"/>
          </w:tcPr>
          <w:p>
            <w:r>
              <w:t>Context</w:t>
            </w:r>
          </w:p>
        </w:tc>
        <w:tc>
          <w:tcPr>
            <w:tcW w:type="dxa" w:w="4320"/>
          </w:tcPr>
          <w:p>
            <w:r>
              <w:t>European pharma company entering Saudi Arabia with branded prescription products; risk that hospital access would lag SFDA approval.</w:t>
            </w:r>
          </w:p>
        </w:tc>
      </w:tr>
      <w:tr>
        <w:tc>
          <w:tcPr>
            <w:tcW w:type="dxa" w:w="4320"/>
          </w:tcPr>
          <w:p>
            <w:r>
              <w:t>The Core Challenge</w:t>
            </w:r>
          </w:p>
        </w:tc>
        <w:tc>
          <w:tcPr>
            <w:tcW w:type="dxa" w:w="4320"/>
          </w:tcPr>
          <w:p>
            <w:r>
              <w:t>Surface problem: regulatory approval. Structural issue: fragmented ownership causing execution dependency.</w:t>
            </w:r>
          </w:p>
        </w:tc>
      </w:tr>
      <w:tr>
        <w:tc>
          <w:tcPr>
            <w:tcW w:type="dxa" w:w="4320"/>
          </w:tcPr>
          <w:p>
            <w:r>
              <w:t>The Decision Shift</w:t>
            </w:r>
          </w:p>
        </w:tc>
        <w:tc>
          <w:tcPr>
            <w:tcW w:type="dxa" w:w="4320"/>
          </w:tcPr>
          <w:p>
            <w:r>
              <w:t>Shifted to a market-access-led model integrating SFDA, hospital formulary planning, distributor readiness, and launch.</w:t>
            </w:r>
          </w:p>
        </w:tc>
      </w:tr>
      <w:tr>
        <w:tc>
          <w:tcPr>
            <w:tcW w:type="dxa" w:w="4320"/>
          </w:tcPr>
          <w:p>
            <w:r>
              <w:t>What Changed</w:t>
            </w:r>
          </w:p>
        </w:tc>
        <w:tc>
          <w:tcPr>
            <w:tcW w:type="dxa" w:w="4320"/>
          </w:tcPr>
          <w:p>
            <w:r>
              <w:t>Parallel execution, shared governance, institutional distributor selection, early hospital targeting.</w:t>
            </w:r>
          </w:p>
        </w:tc>
      </w:tr>
      <w:tr>
        <w:tc>
          <w:tcPr>
            <w:tcW w:type="dxa" w:w="4320"/>
          </w:tcPr>
          <w:p>
            <w:r>
              <w:t>Business Impact</w:t>
            </w:r>
          </w:p>
        </w:tc>
        <w:tc>
          <w:tcPr>
            <w:tcW w:type="dxa" w:w="4320"/>
          </w:tcPr>
          <w:p>
            <w:r>
              <w:t>Faster launch readiness, earlier hospital adoption, reduced revenue delay, scalable execution.</w:t>
            </w:r>
          </w:p>
        </w:tc>
      </w:tr>
      <w:tr>
        <w:tc>
          <w:tcPr>
            <w:tcW w:type="dxa" w:w="4320"/>
          </w:tcPr>
          <w:p>
            <w:r>
              <w:t>Key Outcomes</w:t>
            </w:r>
          </w:p>
        </w:tc>
        <w:tc>
          <w:tcPr>
            <w:tcW w:type="dxa" w:w="4320"/>
          </w:tcPr>
          <w:p>
            <w:r>
              <w:t>SFDA: 9–12 months; Formulary: 3–6 months after approval; Sales: 60–90 days after first formulary inclusion.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