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Global AI Credibility Was Not Enough.</w:t>
      </w:r>
    </w:p>
    <w:p>
      <w:pPr>
        <w:spacing w:after="280"/>
        <w:jc w:val="left"/>
      </w:pPr>
      <w:r>
        <w:rPr>
          <w:b/>
          <w:sz w:val="23"/>
        </w:rPr>
        <w:t>How GreyRadius helped an international AI platform turn localization and its first Gulf reference customer into the foundation for enterprise market entry.</w:t>
      </w:r>
    </w:p>
    <w:p>
      <w:pPr>
        <w:pStyle w:val="Heading1"/>
      </w:pPr>
      <w:r>
        <w:t>Context</w:t>
      </w:r>
    </w:p>
    <w:p>
      <w:r>
        <w:t>An international enterprise AI platform was pursuing growth across the Gulf, targeting large organizations where AI adoption was moving from experimentation toward enterprise deployment.</w:t>
      </w:r>
    </w:p>
    <w:p>
      <w:r>
        <w:t>The company entered with credible technology and a product proposition proven outside the region. Leadership expected that global product credibility would create enough confidence to open enterprise conversations and build an initial pipeline.</w:t>
      </w:r>
    </w:p>
    <w:p>
      <w:r>
        <w:t>Interest was not the main constraint.</w:t>
      </w:r>
    </w:p>
    <w:p>
      <w:r>
        <w:t>The challenge was converting that interest into enterprise commitment.</w:t>
      </w:r>
    </w:p>
    <w:p>
      <w:r>
        <w:t>Gulf customers needed confidence that the platform could operate effectively in Arabic use cases, fit their enterprise environment, and demonstrate that another credible organization in the region was prepared to deploy it.</w:t>
      </w:r>
    </w:p>
    <w:p>
      <w:r>
        <w:t>Without that proof, enterprise conversations risked remaining exploratory rather than progressing toward adoption.</w:t>
      </w:r>
    </w:p>
    <w:p>
      <w:pPr>
        <w:pStyle w:val="Heading1"/>
      </w:pPr>
      <w:r>
        <w:t>The Core Challenge</w:t>
      </w:r>
    </w:p>
    <w:p>
      <w:r>
        <w:t>The surface problem appeared to be a conventional early-stage GTM issue: build pipeline, strengthen localization and secure the first customer.</w:t>
      </w:r>
    </w:p>
    <w:p>
      <w:r>
        <w:t>The structural issue was different.</w:t>
      </w:r>
    </w:p>
    <w:p>
      <w:r>
        <w:t>The GTM model assumed that global product credibility would transfer directly into regional enterprise credibility. It did not sufficiently account for two execution dependencies: Arabic readiness and local proof of deployment.</w:t>
      </w:r>
    </w:p>
    <w:p>
      <w:r>
        <w:t>These dependencies reinforced each other.</w:t>
      </w:r>
    </w:p>
    <w:p>
      <w:r>
        <w:t>Without credible Arabic capability, enterprise buyers had reason to question production readiness. Without a Gulf reference customer, prospective buyers had limited regional evidence that the platform could move from technical promise to enterprise deployment.</w:t>
      </w:r>
    </w:p>
    <w:p>
      <w:r>
        <w:t>A third constraint sat underneath both: internal customer sponsorship.</w:t>
      </w:r>
    </w:p>
    <w:p>
      <w:r>
        <w:t>Enterprise AI adoption rarely depends on product interest alone. A credible internal champion needs enough organizational influence and business relevance to move the opportunity through technical, operational and leadership scrutiny.</w:t>
      </w:r>
    </w:p>
    <w:p>
      <w:r>
        <w:t>This created scaling friction. Expanding the top of the funnel could generate more conversations without materially improving conversion if the underlying credibility gaps remained unresolved.</w:t>
      </w:r>
    </w:p>
    <w:p>
      <w:r>
        <w:t>The problem was therefore not insufficient pipeline volume.</w:t>
      </w:r>
    </w:p>
    <w:p>
      <w:r>
        <w:t>It was insufficient market-entry proof.</w:t>
      </w:r>
    </w:p>
    <w:p>
      <w:pPr>
        <w:pStyle w:val="Heading1"/>
      </w:pPr>
      <w:r>
        <w:t>The Decision Shift</w:t>
      </w:r>
    </w:p>
    <w:p>
      <w:r>
        <w:t>The company stopped treating localization and reference development as outcomes of entering the Gulf and started treating them as prerequisites for scaling within it.</w:t>
      </w:r>
    </w:p>
    <w:p>
      <w:r>
        <w:t xml:space="preserve">The GTM shifted from </w:t>
      </w:r>
      <w:r>
        <w:rPr>
          <w:b/>
        </w:rPr>
        <w:t>global product-led selling to localization-and-reference-led market entry</w:t>
      </w:r>
      <w:r>
        <w:t>.</w:t>
      </w:r>
    </w:p>
    <w:p>
      <w:r>
        <w:t>This changed the commercial question.</w:t>
      </w:r>
    </w:p>
    <w:p>
      <w:r>
        <w:t>Instead of asking, “How many Gulf enterprises can enter the pipeline?” the more important question became, “Which first deployment can establish enough local credibility to make the next enterprise sale easier?”</w:t>
      </w:r>
    </w:p>
    <w:p>
      <w:r>
        <w:t>Arabic capability was consequently reframed from a later product-localization requirement into an enterprise sales requirement.</w:t>
      </w:r>
    </w:p>
    <w:p>
      <w:r>
        <w:t>The first customer was also reframed. It was no longer simply the first revenue opportunity. It needed to become evidence that the platform could operate credibly in the Gulf enterprise environment.</w:t>
      </w:r>
    </w:p>
    <w:p>
      <w:r>
        <w:t>That distinction changed how the market was approached.</w:t>
      </w:r>
    </w:p>
    <w:p>
      <w:pPr>
        <w:pStyle w:val="Heading1"/>
      </w:pPr>
      <w:r>
        <w:t>What Changed in Execution</w:t>
      </w:r>
    </w:p>
    <w:p>
      <w:r>
        <w:t>Account prioritization became more selective.</w:t>
      </w:r>
    </w:p>
    <w:p>
      <w:r>
        <w:t>Potential customers were considered not only for immediate commercial potential, but also for the presence of an identifiable internal champion and their ability to become a credible regional reference.</w:t>
      </w:r>
    </w:p>
    <w:p>
      <w:r>
        <w:t>This reduced the incentive to pursue pipeline volume for its own sake.</w:t>
      </w:r>
    </w:p>
    <w:p>
      <w:r>
        <w:t>Arabic readiness became linked directly to priority enterprise use cases. The question was no longer whether the product could eventually be localized, but whether its Arabic capability was credible enough for the workflows influencing near-term buying decisions.</w:t>
      </w:r>
    </w:p>
    <w:p>
      <w:r>
        <w:t>Commercial ownership also became more disciplined around the first-customer objective.</w:t>
      </w:r>
    </w:p>
    <w:p>
      <w:r>
        <w:t>Early opportunities had to satisfy multiple conditions simultaneously: a relevant enterprise problem, an internal champion, sufficient localization fit and the potential to create regional proof.</w:t>
      </w:r>
    </w:p>
    <w:p>
      <w:r>
        <w:t>This created clearer execution alignment between product readiness and commercial priorities.</w:t>
      </w:r>
    </w:p>
    <w:p>
      <w:r>
        <w:t>The first Gulf deployment could therefore do more than generate revenue. It could reduce perceived adoption risk in subsequent enterprise conversations.</w:t>
      </w:r>
    </w:p>
    <w:p>
      <w:pPr>
        <w:pStyle w:val="Heading1"/>
      </w:pPr>
      <w:r>
        <w:t>Business Impact Delivered</w:t>
      </w:r>
    </w:p>
    <w:p>
      <w:r>
        <w:t>The revised entry model strengthened the platform's enterprise credibility in the Gulf and reduced an important source of early-market friction.</w:t>
      </w:r>
    </w:p>
    <w:p>
      <w:r>
        <w:t>A first Gulf reference customer was secured, providing regional evidence that could support subsequent enterprise discussions.</w:t>
      </w:r>
    </w:p>
    <w:p>
      <w:r>
        <w:t>Arabic capability was assessed against priority enterprise use cases rather than treated as an open-ended localization initiative. This created clearer visibility into where product readiness directly affected commercial progression.</w:t>
      </w:r>
    </w:p>
    <w:p>
      <w:r>
        <w:t>The approach also improved the quality of early account selection. Internal customer champions became part of the qualification logic, reducing dependence on opportunities driven primarily by product interest without sufficient organizational sponsorship.</w:t>
      </w:r>
    </w:p>
    <w:p>
      <w:r>
        <w:t>The immediate result was not simply a larger pipeline. It was a stronger foundation for making the pipeline more credible and repeatable.</w:t>
      </w:r>
    </w:p>
    <w:p>
      <w:pPr>
        <w:pStyle w:val="Heading1"/>
      </w:pPr>
      <w:r>
        <w:t>Key Outcomes</w:t>
      </w:r>
    </w:p>
    <w:p>
      <w:pPr>
        <w:spacing w:after="40"/>
      </w:pPr>
      <w:r>
        <w:rPr>
          <w:b/>
        </w:rPr>
        <w:t>1 Gulf reference customer signed</w:t>
      </w:r>
    </w:p>
    <w:p>
      <w:pPr>
        <w:spacing w:after="140"/>
        <w:ind w:left="216"/>
      </w:pPr>
      <w:r>
        <w:t>Established the first regional proof point for subsequent enterprise conversations.</w:t>
      </w:r>
    </w:p>
    <w:p>
      <w:pPr>
        <w:spacing w:after="40"/>
      </w:pPr>
      <w:r>
        <w:rPr>
          <w:b/>
        </w:rPr>
        <w:t>Arabic readiness assessed across priority enterprise use cases</w:t>
      </w:r>
    </w:p>
    <w:p>
      <w:pPr>
        <w:spacing w:after="140"/>
        <w:ind w:left="216"/>
      </w:pPr>
      <w:r>
        <w:t>Localization became tied to commercial adoption requirements rather than treated as a post-entry product task.</w:t>
      </w:r>
    </w:p>
    <w:p>
      <w:pPr>
        <w:spacing w:after="40"/>
      </w:pPr>
      <w:r>
        <w:rPr>
          <w:b/>
        </w:rPr>
        <w:t>Enterprise champion identified within initial target account(s)</w:t>
      </w:r>
    </w:p>
    <w:p>
      <w:pPr>
        <w:spacing w:after="140"/>
        <w:ind w:left="216"/>
      </w:pPr>
      <w:r>
        <w:t>Account progression became anchored in internal sponsorship as well as product interest.</w:t>
      </w:r>
    </w:p>
    <w:p>
      <w:pPr>
        <w:spacing w:after="40"/>
      </w:pPr>
      <w:r>
        <w:rPr>
          <w:b/>
        </w:rPr>
        <w:t>Stronger regional enterprise credibility</w:t>
      </w:r>
    </w:p>
    <w:p>
      <w:pPr>
        <w:spacing w:after="140"/>
        <w:ind w:left="216"/>
      </w:pPr>
      <w:r>
        <w:t>The GTM moved from relying primarily on global credentials toward building locally relevant evidence of adoption.</w:t>
      </w:r>
    </w:p>
    <w:p>
      <w:pPr>
        <w:spacing w:before="160"/>
      </w:pPr>
      <w:r>
        <w:t>In enterprise AI, a technically strong global product can open doors in a new market. It does not automatically remove the buyer's adoption risk.</w:t>
      </w:r>
    </w:p>
    <w:p>
      <w:r>
        <w:t xml:space="preserve">In the Gulf, localization and the first credible reference deployment can determine whether enterprise interest becomes scalable demand. </w:t>
      </w:r>
      <w:r>
        <w:rPr>
          <w:b/>
        </w:rPr>
        <w:t>The first customer is not only a sale; it can be part of the market-entry infrastructure.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GreyRadius | Enterprise AI / Gulf GCC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