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2"/>
          <w:szCs w:val="52"/>
        </w:rPr>
        <w:t xml:space="preserve">GREYRADIUS CONSULTING</w:t>
      </w:r>
    </w:p>
    <w:p>
      <w:pPr>
        <w:spacing w:after="80" w:before="0"/>
      </w:pPr>
      <w:r>
        <w:rPr>
          <w:rFonts w:ascii="Arial" w:cs="Arial" w:eastAsia="Arial" w:hAnsi="Arial"/>
          <w:color w:val="E8612C"/>
          <w:sz w:val="30"/>
          <w:szCs w:val="30"/>
        </w:rPr>
        <w:t xml:space="preserve">SEO Build Pack — Batch 14</w:t>
      </w:r>
    </w:p>
    <w:p>
      <w:pPr>
        <w:spacing w:after="80" w:before="0"/>
      </w:pPr>
      <w:r>
        <w:rPr>
          <w:rFonts w:ascii="Arial" w:cs="Arial" w:eastAsia="Arial" w:hAnsi="Arial"/>
          <w:b/>
          <w:bCs/>
          <w:color w:val="2E7D32"/>
          <w:sz w:val="22"/>
          <w:szCs w:val="22"/>
        </w:rPr>
        <w:t xml:space="preserve">VERIFIED: 20 pages | 20 unique slugs | No duplicates | Match confirmed</w:t>
      </w:r>
    </w:p>
    <w:p>
      <w:pPr>
        <w:spacing w:after="200" w:before="0"/>
      </w:pPr>
      <w:r>
        <w:rPr>
          <w:rFonts w:ascii="Arial" w:cs="Arial" w:eastAsia="Arial" w:hAnsi="Arial"/>
          <w:b/>
          <w:bCs/>
          <w:color w:val="E8612C"/>
          <w:sz w:val="20"/>
          <w:szCs w:val="20"/>
        </w:rPr>
        <w:t xml:space="preserve">Save JSON as: data/industry-pages-batch14.json</w:t>
      </w:r>
    </w:p>
    <w:p>
      <w:pPr>
        <w:spacing w:after="600" w:before="0"/>
      </w:pPr>
      <w:r>
        <w:rPr>
          <w:rFonts w:ascii="Arial" w:cs="Arial" w:eastAsia="Arial" w:hAnsi="Arial"/>
          <w:i/>
          <w:iCs/>
          <w:color w:val="666666"/>
          <w:sz w:val="18"/>
          <w:szCs w:val="18"/>
        </w:rPr>
        <w:t xml:space="preserve">May 2026 | Confidential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How to use this document</w:t>
      </w:r>
    </w:p>
    <w:p>
      <w:pPr>
        <w:spacing w:after="60" w:before="60"/>
      </w:pPr>
      <w:r>
        <w:rPr>
          <w:rFonts w:ascii="Arial" w:cs="Arial" w:eastAsia="Arial" w:hAnsi="Arial"/>
          <w:color w:val="222222"/>
          <w:sz w:val="20"/>
          <w:szCs w:val="20"/>
        </w:rPr>
        <w:t xml:space="preserve">Three sections. Use in order.</w:t>
      </w:r>
    </w:p>
    <w:p>
      <w:pPr>
        <w:pStyle w:val="ListParagraph"/>
        <w:numPr>
          <w:ilvl w:val="0"/>
          <w:numId w:val="2"/>
        </w:numPr>
        <w:spacing w:after="40" w:before="40"/>
      </w:pPr>
      <w:r>
        <w:rPr>
          <w:rFonts w:ascii="Arial" w:cs="Arial" w:eastAsia="Arial" w:hAnsi="Arial"/>
          <w:color w:val="222222"/>
          <w:sz w:val="20"/>
          <w:szCs w:val="20"/>
        </w:rPr>
        <w:t xml:space="preserve">Section 1 — Page index: all 20 pages with output paths</w:t>
      </w:r>
    </w:p>
    <w:p>
      <w:pPr>
        <w:pStyle w:val="ListParagraph"/>
        <w:numPr>
          <w:ilvl w:val="0"/>
          <w:numId w:val="2"/>
        </w:numPr>
        <w:spacing w:after="40" w:before="40"/>
      </w:pPr>
      <w:r>
        <w:rPr>
          <w:rFonts w:ascii="Arial" w:cs="Arial" w:eastAsia="Arial" w:hAnsi="Arial"/>
          <w:color w:val="222222"/>
          <w:sz w:val="20"/>
          <w:szCs w:val="20"/>
        </w:rPr>
        <w:t xml:space="preserve">Section 2 — Replit prompt: copy and paste directly into Replit AI without modification</w:t>
      </w:r>
    </w:p>
    <w:p>
      <w:pPr>
        <w:pStyle w:val="ListParagraph"/>
        <w:numPr>
          <w:ilvl w:val="0"/>
          <w:numId w:val="2"/>
        </w:numPr>
        <w:spacing w:after="40" w:before="40"/>
      </w:pPr>
      <w:r>
        <w:rPr>
          <w:rFonts w:ascii="Arial" w:cs="Arial" w:eastAsia="Arial" w:hAnsi="Arial"/>
          <w:color w:val="222222"/>
          <w:sz w:val="20"/>
          <w:szCs w:val="20"/>
        </w:rPr>
        <w:t xml:space="preserve">Section 3 — JSON appendix: save as data/industry-pages-batch14.json</w:t>
      </w:r>
    </w:p>
    <w:p>
      <w:pPr>
        <w:spacing w:after="60" w:before="60"/>
      </w:pPr>
      <w:r>
        <w:rPr>
          <w:rFonts w:ascii="Arial" w:cs="Arial" w:eastAsia="Arial" w:hAnsi="Arial"/>
          <w:color w:val="222222"/>
          <w:sz w:val="20"/>
          <w:szCs w:val="20"/>
        </w:rPr>
        <w:t xml:space="preserve">Sequence: save JSON first, paste Replit prompt second, confirm 20 pages created.</w:t>
      </w:r>
    </w:p>
    <w:p>
      <w:pPr>
        <w:spacing w:after="60" w:before="60"/>
      </w:pPr>
      <w:r>
        <w:rPr>
          <w:rFonts w:ascii="Arial" w:cs="Arial" w:eastAsia="Arial" w:hAnsi="Arial"/>
          <w:i/>
          <w:iCs/>
          <w:color w:val="666666"/>
          <w:sz w:val="18"/>
          <w:szCs w:val="18"/>
        </w:rPr>
        <w:t xml:space="preserve">All previous batches already built. This batch adds 20 new pages only.</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1: Page index — all 20 pages</w:t>
      </w:r>
    </w:p>
    <w:p>
      <w:pPr>
        <w:spacing w:after="60" w:before="60"/>
      </w:pPr>
      <w:r>
        <w:rPr>
          <w:rFonts w:ascii="Arial" w:cs="Arial" w:eastAsia="Arial" w:hAnsi="Arial"/>
          <w:i/>
          <w:iCs/>
          <w:color w:val="666666"/>
          <w:sz w:val="18"/>
          <w:szCs w:val="18"/>
        </w:rPr>
        <w:t xml:space="preserve">20 unique slugs confirmed. No duplicates.</w:t>
      </w:r>
    </w:p>
    <w:p>
      <w:pPr>
        <w:pStyle w:val="Heading2"/>
        <w:spacing w:after="120" w:before="280"/>
      </w:pPr>
      <w:r>
        <w:rPr>
          <w:rFonts w:ascii="Arial" w:cs="Arial" w:eastAsia="Arial" w:hAnsi="Arial"/>
          <w:b/>
          <w:bCs/>
          <w:color w:val="1B2A4A"/>
          <w:sz w:val="26"/>
          <w:szCs w:val="26"/>
        </w:rPr>
        <w:t xml:space="preserve">Pages 1–10</w:t>
      </w:r>
    </w:p>
    <w:p>
      <w:pPr>
        <w:pStyle w:val="ListParagraph"/>
        <w:numPr>
          <w:ilvl w:val="0"/>
          <w:numId w:val="2"/>
        </w:numPr>
        <w:spacing w:after="40" w:before="40"/>
      </w:pPr>
      <w:r>
        <w:rPr>
          <w:rFonts w:ascii="Arial" w:cs="Arial" w:eastAsia="Arial" w:hAnsi="Arial"/>
          <w:color w:val="222222"/>
          <w:sz w:val="20"/>
          <w:szCs w:val="20"/>
        </w:rPr>
        <w:t xml:space="preserve">1. [T3] Africa logistics market entry strategy
   → industries/logistics-supply-chain/africa-logistics-market-entry.html</w:t>
      </w:r>
    </w:p>
    <w:p>
      <w:pPr>
        <w:pStyle w:val="ListParagraph"/>
        <w:numPr>
          <w:ilvl w:val="0"/>
          <w:numId w:val="2"/>
        </w:numPr>
        <w:spacing w:after="40" w:before="40"/>
      </w:pPr>
      <w:r>
        <w:rPr>
          <w:rFonts w:ascii="Arial" w:cs="Arial" w:eastAsia="Arial" w:hAnsi="Arial"/>
          <w:color w:val="222222"/>
          <w:sz w:val="20"/>
          <w:szCs w:val="20"/>
        </w:rPr>
        <w:t xml:space="preserve">2. [T3] India insurance market entry strategy
   → industries/insurtech/india-insurance-market-entry.html</w:t>
      </w:r>
    </w:p>
    <w:p>
      <w:pPr>
        <w:pStyle w:val="ListParagraph"/>
        <w:numPr>
          <w:ilvl w:val="0"/>
          <w:numId w:val="2"/>
        </w:numPr>
        <w:spacing w:after="40" w:before="40"/>
      </w:pPr>
      <w:r>
        <w:rPr>
          <w:rFonts w:ascii="Arial" w:cs="Arial" w:eastAsia="Arial" w:hAnsi="Arial"/>
          <w:color w:val="222222"/>
          <w:sz w:val="20"/>
          <w:szCs w:val="20"/>
        </w:rPr>
        <w:t xml:space="preserve">3. [T3] Gulf healthcare technology market entry strategy
   → industries/healthtech/gulf-healthcare-technology.html</w:t>
      </w:r>
    </w:p>
    <w:p>
      <w:pPr>
        <w:pStyle w:val="ListParagraph"/>
        <w:numPr>
          <w:ilvl w:val="0"/>
          <w:numId w:val="2"/>
        </w:numPr>
        <w:spacing w:after="40" w:before="40"/>
      </w:pPr>
      <w:r>
        <w:rPr>
          <w:rFonts w:ascii="Arial" w:cs="Arial" w:eastAsia="Arial" w:hAnsi="Arial"/>
          <w:color w:val="222222"/>
          <w:sz w:val="20"/>
          <w:szCs w:val="20"/>
        </w:rPr>
        <w:t xml:space="preserve">4. [T3] India agritech deep-dive market entry strategy
   → industries/agritech/india-agritech-deep-dive.html</w:t>
      </w:r>
    </w:p>
    <w:p>
      <w:pPr>
        <w:pStyle w:val="ListParagraph"/>
        <w:numPr>
          <w:ilvl w:val="0"/>
          <w:numId w:val="2"/>
        </w:numPr>
        <w:spacing w:after="40" w:before="40"/>
      </w:pPr>
      <w:r>
        <w:rPr>
          <w:rFonts w:ascii="Arial" w:cs="Arial" w:eastAsia="Arial" w:hAnsi="Arial"/>
          <w:color w:val="222222"/>
          <w:sz w:val="20"/>
          <w:szCs w:val="20"/>
        </w:rPr>
        <w:t xml:space="preserve">5. [T3] India manufacturing technology market entry strategy
   → industries/manufacturing-industrials/india-manufacturing-technology.html</w:t>
      </w:r>
    </w:p>
    <w:p>
      <w:pPr>
        <w:pStyle w:val="ListParagraph"/>
        <w:numPr>
          <w:ilvl w:val="0"/>
          <w:numId w:val="2"/>
        </w:numPr>
        <w:spacing w:after="40" w:before="40"/>
      </w:pPr>
      <w:r>
        <w:rPr>
          <w:rFonts w:ascii="Arial" w:cs="Arial" w:eastAsia="Arial" w:hAnsi="Arial"/>
          <w:color w:val="222222"/>
          <w:sz w:val="20"/>
          <w:szCs w:val="20"/>
        </w:rPr>
        <w:t xml:space="preserve">6. [T3] Southeast Asia retail market entry strategy
   → industries/cpg-fmcg-retail/southeast-asia-retail-market-entry.html</w:t>
      </w:r>
    </w:p>
    <w:p>
      <w:pPr>
        <w:pStyle w:val="ListParagraph"/>
        <w:numPr>
          <w:ilvl w:val="0"/>
          <w:numId w:val="2"/>
        </w:numPr>
        <w:spacing w:after="40" w:before="40"/>
      </w:pPr>
      <w:r>
        <w:rPr>
          <w:rFonts w:ascii="Arial" w:cs="Arial" w:eastAsia="Arial" w:hAnsi="Arial"/>
          <w:color w:val="222222"/>
          <w:sz w:val="20"/>
          <w:szCs w:val="20"/>
        </w:rPr>
        <w:t xml:space="preserve">7. [T3] Africa energy and off-grid market entry strategy
   → industries/renewable-energy/africa-energy-market-entry.html</w:t>
      </w:r>
    </w:p>
    <w:p>
      <w:pPr>
        <w:pStyle w:val="ListParagraph"/>
        <w:numPr>
          <w:ilvl w:val="0"/>
          <w:numId w:val="2"/>
        </w:numPr>
        <w:spacing w:after="40" w:before="40"/>
      </w:pPr>
      <w:r>
        <w:rPr>
          <w:rFonts w:ascii="Arial" w:cs="Arial" w:eastAsia="Arial" w:hAnsi="Arial"/>
          <w:color w:val="222222"/>
          <w:sz w:val="20"/>
          <w:szCs w:val="20"/>
        </w:rPr>
        <w:t xml:space="preserve">8. [T3] India climate tech and carbon market entry strategy
   → industries/carbon-markets/india-climate-tech.html</w:t>
      </w:r>
    </w:p>
    <w:p>
      <w:pPr>
        <w:pStyle w:val="ListParagraph"/>
        <w:numPr>
          <w:ilvl w:val="0"/>
          <w:numId w:val="2"/>
        </w:numPr>
        <w:spacing w:after="40" w:before="40"/>
      </w:pPr>
      <w:r>
        <w:rPr>
          <w:rFonts w:ascii="Arial" w:cs="Arial" w:eastAsia="Arial" w:hAnsi="Arial"/>
          <w:color w:val="222222"/>
          <w:sz w:val="20"/>
          <w:szCs w:val="20"/>
        </w:rPr>
        <w:t xml:space="preserve">9. [T3] Gulf hospitality and tourism market entry strategy
   → industries/hospitality-tourism/gulf-hospitality-market-entry.html</w:t>
      </w:r>
    </w:p>
    <w:p>
      <w:pPr>
        <w:pStyle w:val="ListParagraph"/>
        <w:numPr>
          <w:ilvl w:val="0"/>
          <w:numId w:val="2"/>
        </w:numPr>
        <w:spacing w:after="40" w:before="40"/>
      </w:pPr>
      <w:r>
        <w:rPr>
          <w:rFonts w:ascii="Arial" w:cs="Arial" w:eastAsia="Arial" w:hAnsi="Arial"/>
          <w:color w:val="222222"/>
          <w:sz w:val="20"/>
          <w:szCs w:val="20"/>
        </w:rPr>
        <w:t xml:space="preserve">10. [T3] India media and entertainment market entry strategy
   → industries/media-entertainment/india-media-entertainment.html</w:t>
      </w:r>
    </w:p>
    <w:p>
      <w:pPr>
        <w:pStyle w:val="Heading2"/>
        <w:spacing w:after="120" w:before="280"/>
      </w:pPr>
      <w:r>
        <w:rPr>
          <w:rFonts w:ascii="Arial" w:cs="Arial" w:eastAsia="Arial" w:hAnsi="Arial"/>
          <w:b/>
          <w:bCs/>
          <w:color w:val="1B2A4A"/>
          <w:sz w:val="26"/>
          <w:szCs w:val="26"/>
        </w:rPr>
        <w:t xml:space="preserve">Pages 11–20</w:t>
      </w:r>
    </w:p>
    <w:p>
      <w:pPr>
        <w:pStyle w:val="ListParagraph"/>
        <w:numPr>
          <w:ilvl w:val="0"/>
          <w:numId w:val="2"/>
        </w:numPr>
        <w:spacing w:after="40" w:before="40"/>
      </w:pPr>
      <w:r>
        <w:rPr>
          <w:rFonts w:ascii="Arial" w:cs="Arial" w:eastAsia="Arial" w:hAnsi="Arial"/>
          <w:color w:val="222222"/>
          <w:sz w:val="20"/>
          <w:szCs w:val="20"/>
        </w:rPr>
        <w:t xml:space="preserve">11. [T3] Gulf B2B professional services market entry strategy
   → industries/enterprise-saas/gulf-b2b-services.html</w:t>
      </w:r>
    </w:p>
    <w:p>
      <w:pPr>
        <w:pStyle w:val="ListParagraph"/>
        <w:numPr>
          <w:ilvl w:val="0"/>
          <w:numId w:val="2"/>
        </w:numPr>
        <w:spacing w:after="40" w:before="40"/>
      </w:pPr>
      <w:r>
        <w:rPr>
          <w:rFonts w:ascii="Arial" w:cs="Arial" w:eastAsia="Arial" w:hAnsi="Arial"/>
          <w:color w:val="222222"/>
          <w:sz w:val="20"/>
          <w:szCs w:val="20"/>
        </w:rPr>
        <w:t xml:space="preserve">12. [T3] India consumer health and OTC market entry strategy
   → industries/health-supplements/india-consumer-health.html</w:t>
      </w:r>
    </w:p>
    <w:p>
      <w:pPr>
        <w:pStyle w:val="ListParagraph"/>
        <w:numPr>
          <w:ilvl w:val="0"/>
          <w:numId w:val="2"/>
        </w:numPr>
        <w:spacing w:after="40" w:before="40"/>
      </w:pPr>
      <w:r>
        <w:rPr>
          <w:rFonts w:ascii="Arial" w:cs="Arial" w:eastAsia="Arial" w:hAnsi="Arial"/>
          <w:color w:val="222222"/>
          <w:sz w:val="20"/>
          <w:szCs w:val="20"/>
        </w:rPr>
        <w:t xml:space="preserve">13. [T3] Africa healthtech market entry strategy
   → industries/healthtech/africa-healthtech-market-entry.html</w:t>
      </w:r>
    </w:p>
    <w:p>
      <w:pPr>
        <w:pStyle w:val="ListParagraph"/>
        <w:numPr>
          <w:ilvl w:val="0"/>
          <w:numId w:val="2"/>
        </w:numPr>
        <w:spacing w:after="40" w:before="40"/>
      </w:pPr>
      <w:r>
        <w:rPr>
          <w:rFonts w:ascii="Arial" w:cs="Arial" w:eastAsia="Arial" w:hAnsi="Arial"/>
          <w:color w:val="222222"/>
          <w:sz w:val="20"/>
          <w:szCs w:val="20"/>
        </w:rPr>
        <w:t xml:space="preserve">14. [T3] India PropTech market entry strategy
   → industries/proptech/india-proptech-market-entry.html</w:t>
      </w:r>
    </w:p>
    <w:p>
      <w:pPr>
        <w:pStyle w:val="ListParagraph"/>
        <w:numPr>
          <w:ilvl w:val="0"/>
          <w:numId w:val="2"/>
        </w:numPr>
        <w:spacing w:after="40" w:before="40"/>
      </w:pPr>
      <w:r>
        <w:rPr>
          <w:rFonts w:ascii="Arial" w:cs="Arial" w:eastAsia="Arial" w:hAnsi="Arial"/>
          <w:color w:val="222222"/>
          <w:sz w:val="20"/>
          <w:szCs w:val="20"/>
        </w:rPr>
        <w:t xml:space="preserve">15. [T3] Southeast Asia healthcare technology market entry strategy
   → industries/healthtech/southeast-asia-healthcare-technology.html</w:t>
      </w:r>
    </w:p>
    <w:p>
      <w:pPr>
        <w:pStyle w:val="ListParagraph"/>
        <w:numPr>
          <w:ilvl w:val="0"/>
          <w:numId w:val="2"/>
        </w:numPr>
        <w:spacing w:after="40" w:before="40"/>
      </w:pPr>
      <w:r>
        <w:rPr>
          <w:rFonts w:ascii="Arial" w:cs="Arial" w:eastAsia="Arial" w:hAnsi="Arial"/>
          <w:color w:val="222222"/>
          <w:sz w:val="20"/>
          <w:szCs w:val="20"/>
        </w:rPr>
        <w:t xml:space="preserve">16. [T3] India B2B marketplace market entry strategy
   → industries/ecommerce-tech/india-b2b-marketplace.html</w:t>
      </w:r>
    </w:p>
    <w:p>
      <w:pPr>
        <w:pStyle w:val="ListParagraph"/>
        <w:numPr>
          <w:ilvl w:val="0"/>
          <w:numId w:val="2"/>
        </w:numPr>
        <w:spacing w:after="40" w:before="40"/>
      </w:pPr>
      <w:r>
        <w:rPr>
          <w:rFonts w:ascii="Arial" w:cs="Arial" w:eastAsia="Arial" w:hAnsi="Arial"/>
          <w:color w:val="222222"/>
          <w:sz w:val="20"/>
          <w:szCs w:val="20"/>
        </w:rPr>
        <w:t xml:space="preserve">17. [T3] Gulf construction market entry strategy
   → industries/proptech/gulf-construction-market-entry.html</w:t>
      </w:r>
    </w:p>
    <w:p>
      <w:pPr>
        <w:pStyle w:val="ListParagraph"/>
        <w:numPr>
          <w:ilvl w:val="0"/>
          <w:numId w:val="2"/>
        </w:numPr>
        <w:spacing w:after="40" w:before="40"/>
      </w:pPr>
      <w:r>
        <w:rPr>
          <w:rFonts w:ascii="Arial" w:cs="Arial" w:eastAsia="Arial" w:hAnsi="Arial"/>
          <w:color w:val="222222"/>
          <w:sz w:val="20"/>
          <w:szCs w:val="20"/>
        </w:rPr>
        <w:t xml:space="preserve">18. [T3] India mobility and transportation market entry strategy
   → industries/electric-vehicles/india-mobility-market-entry.html</w:t>
      </w:r>
    </w:p>
    <w:p>
      <w:pPr>
        <w:pStyle w:val="ListParagraph"/>
        <w:numPr>
          <w:ilvl w:val="0"/>
          <w:numId w:val="2"/>
        </w:numPr>
        <w:spacing w:after="40" w:before="40"/>
      </w:pPr>
      <w:r>
        <w:rPr>
          <w:rFonts w:ascii="Arial" w:cs="Arial" w:eastAsia="Arial" w:hAnsi="Arial"/>
          <w:color w:val="222222"/>
          <w:sz w:val="20"/>
          <w:szCs w:val="20"/>
        </w:rPr>
        <w:t xml:space="preserve">19. [T3] India fintech infrastructure market entry strategy
   → industries/fintech-payments/india-fintech-infrastructure.html</w:t>
      </w:r>
    </w:p>
    <w:p>
      <w:pPr>
        <w:pStyle w:val="ListParagraph"/>
        <w:numPr>
          <w:ilvl w:val="0"/>
          <w:numId w:val="2"/>
        </w:numPr>
        <w:spacing w:after="40" w:before="40"/>
      </w:pPr>
      <w:r>
        <w:rPr>
          <w:rFonts w:ascii="Arial" w:cs="Arial" w:eastAsia="Arial" w:hAnsi="Arial"/>
          <w:color w:val="222222"/>
          <w:sz w:val="20"/>
          <w:szCs w:val="20"/>
        </w:rPr>
        <w:t xml:space="preserve">20. [T3] India and Gulf FMCG combined market entry strategy
   → industries/cpg-fmcg-retail/india-gulf-fmcg-combined.html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2: Replit prompt</w:t>
      </w:r>
    </w:p>
    <w:p>
      <w:pPr>
        <w:spacing w:after="60" w:before="60"/>
      </w:pPr>
      <w:r>
        <w:rPr>
          <w:rFonts w:ascii="Arial" w:cs="Arial" w:eastAsia="Arial" w:hAnsi="Arial"/>
          <w:i/>
          <w:iCs/>
          <w:color w:val="666666"/>
          <w:sz w:val="18"/>
          <w:szCs w:val="18"/>
        </w:rPr>
        <w:t xml:space="preserve">Copy everything between the === lines and paste into Replit AI. Do not modify.</w:t>
      </w:r>
    </w:p>
    <w:p>
      <w:pPr>
        <w:spacing w:after="8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GREYRADIUS INDUSTRY PAGES — BATCH 14 BUILD</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JSON file:  data/industry-pages-batch14.json</w:t>
      </w:r>
    </w:p>
    <w:p>
      <w:pPr>
        <w:shd w:fill="F0F0F0" w:val="clear"/>
        <w:spacing w:after="14" w:before="14"/>
        <w:ind w:left="360"/>
      </w:pPr>
      <w:r>
        <w:rPr>
          <w:rFonts w:ascii="Courier New" w:cs="Courier New" w:eastAsia="Courier New" w:hAnsi="Courier New"/>
          <w:color w:val="1B2A4A"/>
          <w:sz w:val="16"/>
          <w:szCs w:val="16"/>
        </w:rPr>
        <w:t xml:space="preserve">Template:   templates/industry-page-template.html</w:t>
      </w:r>
    </w:p>
    <w:p>
      <w:pPr>
        <w:shd w:fill="F0F0F0" w:val="clear"/>
        <w:spacing w:after="14" w:before="14"/>
        <w:ind w:left="360"/>
      </w:pPr>
      <w:r>
        <w:rPr>
          <w:rFonts w:ascii="Courier New" w:cs="Courier New" w:eastAsia="Courier New" w:hAnsi="Courier New"/>
          <w:color w:val="1B2A4A"/>
          <w:sz w:val="16"/>
          <w:szCs w:val="16"/>
        </w:rPr>
        <w:t xml:space="preserve">Pages:      20 (verified — no duplicates)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PAGES TO BUILD:</w:t>
      </w:r>
    </w:p>
    <w:p>
      <w:pPr>
        <w:shd w:fill="F0F0F0" w:val="clear"/>
        <w:spacing w:after="14" w:before="14"/>
        <w:ind w:left="360"/>
      </w:pPr>
      <w:r>
        <w:rPr>
          <w:rFonts w:ascii="Courier New" w:cs="Courier New" w:eastAsia="Courier New" w:hAnsi="Courier New"/>
          <w:color w:val="1B2A4A"/>
          <w:sz w:val="16"/>
          <w:szCs w:val="16"/>
        </w:rPr>
        <w:t xml:space="preserve">   1. africa-logistics-market-entry → industries/logistics-supply-chain/africa-logistics-market-entry.html</w:t>
      </w:r>
    </w:p>
    <w:p>
      <w:pPr>
        <w:shd w:fill="F0F0F0" w:val="clear"/>
        <w:spacing w:after="14" w:before="14"/>
        <w:ind w:left="360"/>
      </w:pPr>
      <w:r>
        <w:rPr>
          <w:rFonts w:ascii="Courier New" w:cs="Courier New" w:eastAsia="Courier New" w:hAnsi="Courier New"/>
          <w:color w:val="1B2A4A"/>
          <w:sz w:val="16"/>
          <w:szCs w:val="16"/>
        </w:rPr>
        <w:t xml:space="preserve">   2. india-insurance-market-entry → industries/insurtech/india-insurance-market-entry.html</w:t>
      </w:r>
    </w:p>
    <w:p>
      <w:pPr>
        <w:shd w:fill="F0F0F0" w:val="clear"/>
        <w:spacing w:after="14" w:before="14"/>
        <w:ind w:left="360"/>
      </w:pPr>
      <w:r>
        <w:rPr>
          <w:rFonts w:ascii="Courier New" w:cs="Courier New" w:eastAsia="Courier New" w:hAnsi="Courier New"/>
          <w:color w:val="1B2A4A"/>
          <w:sz w:val="16"/>
          <w:szCs w:val="16"/>
        </w:rPr>
        <w:t xml:space="preserve">   3. gulf-healthcare-technology → industries/healthtech/gulf-healthcare-technology.html</w:t>
      </w:r>
    </w:p>
    <w:p>
      <w:pPr>
        <w:shd w:fill="F0F0F0" w:val="clear"/>
        <w:spacing w:after="14" w:before="14"/>
        <w:ind w:left="360"/>
      </w:pPr>
      <w:r>
        <w:rPr>
          <w:rFonts w:ascii="Courier New" w:cs="Courier New" w:eastAsia="Courier New" w:hAnsi="Courier New"/>
          <w:color w:val="1B2A4A"/>
          <w:sz w:val="16"/>
          <w:szCs w:val="16"/>
        </w:rPr>
        <w:t xml:space="preserve">   4. india-agritech-deep-dive → industries/agritech/india-agritech-deep-dive.html</w:t>
      </w:r>
    </w:p>
    <w:p>
      <w:pPr>
        <w:shd w:fill="F0F0F0" w:val="clear"/>
        <w:spacing w:after="14" w:before="14"/>
        <w:ind w:left="360"/>
      </w:pPr>
      <w:r>
        <w:rPr>
          <w:rFonts w:ascii="Courier New" w:cs="Courier New" w:eastAsia="Courier New" w:hAnsi="Courier New"/>
          <w:color w:val="1B2A4A"/>
          <w:sz w:val="16"/>
          <w:szCs w:val="16"/>
        </w:rPr>
        <w:t xml:space="preserve">   5. india-manufacturing-technology → industries/manufacturing-industrials/india-manufacturing-technology.html</w:t>
      </w:r>
    </w:p>
    <w:p>
      <w:pPr>
        <w:shd w:fill="F0F0F0" w:val="clear"/>
        <w:spacing w:after="14" w:before="14"/>
        <w:ind w:left="360"/>
      </w:pPr>
      <w:r>
        <w:rPr>
          <w:rFonts w:ascii="Courier New" w:cs="Courier New" w:eastAsia="Courier New" w:hAnsi="Courier New"/>
          <w:color w:val="1B2A4A"/>
          <w:sz w:val="16"/>
          <w:szCs w:val="16"/>
        </w:rPr>
        <w:t xml:space="preserve">   6. southeast-asia-retail-market-entry → industries/cpg-fmcg-retail/southeast-asia-retail-market-entry.html</w:t>
      </w:r>
    </w:p>
    <w:p>
      <w:pPr>
        <w:shd w:fill="F0F0F0" w:val="clear"/>
        <w:spacing w:after="14" w:before="14"/>
        <w:ind w:left="360"/>
      </w:pPr>
      <w:r>
        <w:rPr>
          <w:rFonts w:ascii="Courier New" w:cs="Courier New" w:eastAsia="Courier New" w:hAnsi="Courier New"/>
          <w:color w:val="1B2A4A"/>
          <w:sz w:val="16"/>
          <w:szCs w:val="16"/>
        </w:rPr>
        <w:t xml:space="preserve">   7. africa-energy-market-entry → industries/renewable-energy/africa-energy-market-entry.html</w:t>
      </w:r>
    </w:p>
    <w:p>
      <w:pPr>
        <w:shd w:fill="F0F0F0" w:val="clear"/>
        <w:spacing w:after="14" w:before="14"/>
        <w:ind w:left="360"/>
      </w:pPr>
      <w:r>
        <w:rPr>
          <w:rFonts w:ascii="Courier New" w:cs="Courier New" w:eastAsia="Courier New" w:hAnsi="Courier New"/>
          <w:color w:val="1B2A4A"/>
          <w:sz w:val="16"/>
          <w:szCs w:val="16"/>
        </w:rPr>
        <w:t xml:space="preserve">   8. india-climate-tech → industries/carbon-markets/india-climate-tech.html</w:t>
      </w:r>
    </w:p>
    <w:p>
      <w:pPr>
        <w:shd w:fill="F0F0F0" w:val="clear"/>
        <w:spacing w:after="14" w:before="14"/>
        <w:ind w:left="360"/>
      </w:pPr>
      <w:r>
        <w:rPr>
          <w:rFonts w:ascii="Courier New" w:cs="Courier New" w:eastAsia="Courier New" w:hAnsi="Courier New"/>
          <w:color w:val="1B2A4A"/>
          <w:sz w:val="16"/>
          <w:szCs w:val="16"/>
        </w:rPr>
        <w:t xml:space="preserve">   9. gulf-hospitality-market-entry → industries/hospitality-tourism/gulf-hospitality-market-entry.html</w:t>
      </w:r>
    </w:p>
    <w:p>
      <w:pPr>
        <w:shd w:fill="F0F0F0" w:val="clear"/>
        <w:spacing w:after="14" w:before="14"/>
        <w:ind w:left="360"/>
      </w:pPr>
      <w:r>
        <w:rPr>
          <w:rFonts w:ascii="Courier New" w:cs="Courier New" w:eastAsia="Courier New" w:hAnsi="Courier New"/>
          <w:color w:val="1B2A4A"/>
          <w:sz w:val="16"/>
          <w:szCs w:val="16"/>
        </w:rPr>
        <w:t xml:space="preserve">  10. india-media-entertainment → industries/media-entertainment/india-media-entertainment.html</w:t>
      </w:r>
    </w:p>
    <w:p>
      <w:pPr>
        <w:shd w:fill="F0F0F0" w:val="clear"/>
        <w:spacing w:after="14" w:before="14"/>
        <w:ind w:left="360"/>
      </w:pPr>
      <w:r>
        <w:rPr>
          <w:rFonts w:ascii="Courier New" w:cs="Courier New" w:eastAsia="Courier New" w:hAnsi="Courier New"/>
          <w:color w:val="1B2A4A"/>
          <w:sz w:val="16"/>
          <w:szCs w:val="16"/>
        </w:rPr>
        <w:t xml:space="preserve">  11. gulf-b2b-services → industries/enterprise-saas/gulf-b2b-services.html</w:t>
      </w:r>
    </w:p>
    <w:p>
      <w:pPr>
        <w:shd w:fill="F0F0F0" w:val="clear"/>
        <w:spacing w:after="14" w:before="14"/>
        <w:ind w:left="360"/>
      </w:pPr>
      <w:r>
        <w:rPr>
          <w:rFonts w:ascii="Courier New" w:cs="Courier New" w:eastAsia="Courier New" w:hAnsi="Courier New"/>
          <w:color w:val="1B2A4A"/>
          <w:sz w:val="16"/>
          <w:szCs w:val="16"/>
        </w:rPr>
        <w:t xml:space="preserve">  12. india-consumer-health → industries/health-supplements/india-consumer-health.html</w:t>
      </w:r>
    </w:p>
    <w:p>
      <w:pPr>
        <w:shd w:fill="F0F0F0" w:val="clear"/>
        <w:spacing w:after="14" w:before="14"/>
        <w:ind w:left="360"/>
      </w:pPr>
      <w:r>
        <w:rPr>
          <w:rFonts w:ascii="Courier New" w:cs="Courier New" w:eastAsia="Courier New" w:hAnsi="Courier New"/>
          <w:color w:val="1B2A4A"/>
          <w:sz w:val="16"/>
          <w:szCs w:val="16"/>
        </w:rPr>
        <w:t xml:space="preserve">  13. africa-healthtech-market-entry → industries/healthtech/africa-healthtech-market-entry.html</w:t>
      </w:r>
    </w:p>
    <w:p>
      <w:pPr>
        <w:shd w:fill="F0F0F0" w:val="clear"/>
        <w:spacing w:after="14" w:before="14"/>
        <w:ind w:left="360"/>
      </w:pPr>
      <w:r>
        <w:rPr>
          <w:rFonts w:ascii="Courier New" w:cs="Courier New" w:eastAsia="Courier New" w:hAnsi="Courier New"/>
          <w:color w:val="1B2A4A"/>
          <w:sz w:val="16"/>
          <w:szCs w:val="16"/>
        </w:rPr>
        <w:t xml:space="preserve">  14. india-proptech-market-entry → industries/proptech/india-proptech-market-entry.html</w:t>
      </w:r>
    </w:p>
    <w:p>
      <w:pPr>
        <w:shd w:fill="F0F0F0" w:val="clear"/>
        <w:spacing w:after="14" w:before="14"/>
        <w:ind w:left="360"/>
      </w:pPr>
      <w:r>
        <w:rPr>
          <w:rFonts w:ascii="Courier New" w:cs="Courier New" w:eastAsia="Courier New" w:hAnsi="Courier New"/>
          <w:color w:val="1B2A4A"/>
          <w:sz w:val="16"/>
          <w:szCs w:val="16"/>
        </w:rPr>
        <w:t xml:space="preserve">  15. southeast-asia-healthcare-technology → industries/healthtech/southeast-asia-healthcare-technology.html</w:t>
      </w:r>
    </w:p>
    <w:p>
      <w:pPr>
        <w:shd w:fill="F0F0F0" w:val="clear"/>
        <w:spacing w:after="14" w:before="14"/>
        <w:ind w:left="360"/>
      </w:pPr>
      <w:r>
        <w:rPr>
          <w:rFonts w:ascii="Courier New" w:cs="Courier New" w:eastAsia="Courier New" w:hAnsi="Courier New"/>
          <w:color w:val="1B2A4A"/>
          <w:sz w:val="16"/>
          <w:szCs w:val="16"/>
        </w:rPr>
        <w:t xml:space="preserve">  16. india-b2b-marketplace → industries/ecommerce-tech/india-b2b-marketplace.html</w:t>
      </w:r>
    </w:p>
    <w:p>
      <w:pPr>
        <w:shd w:fill="F0F0F0" w:val="clear"/>
        <w:spacing w:after="14" w:before="14"/>
        <w:ind w:left="360"/>
      </w:pPr>
      <w:r>
        <w:rPr>
          <w:rFonts w:ascii="Courier New" w:cs="Courier New" w:eastAsia="Courier New" w:hAnsi="Courier New"/>
          <w:color w:val="1B2A4A"/>
          <w:sz w:val="16"/>
          <w:szCs w:val="16"/>
        </w:rPr>
        <w:t xml:space="preserve">  17. gulf-construction-market-entry → industries/proptech/gulf-construction-market-entry.html</w:t>
      </w:r>
    </w:p>
    <w:p>
      <w:pPr>
        <w:shd w:fill="F0F0F0" w:val="clear"/>
        <w:spacing w:after="14" w:before="14"/>
        <w:ind w:left="360"/>
      </w:pPr>
      <w:r>
        <w:rPr>
          <w:rFonts w:ascii="Courier New" w:cs="Courier New" w:eastAsia="Courier New" w:hAnsi="Courier New"/>
          <w:color w:val="1B2A4A"/>
          <w:sz w:val="16"/>
          <w:szCs w:val="16"/>
        </w:rPr>
        <w:t xml:space="preserve">  18. india-mobility-market-entry → industries/electric-vehicles/india-mobility-market-entry.html</w:t>
      </w:r>
    </w:p>
    <w:p>
      <w:pPr>
        <w:shd w:fill="F0F0F0" w:val="clear"/>
        <w:spacing w:after="14" w:before="14"/>
        <w:ind w:left="360"/>
      </w:pPr>
      <w:r>
        <w:rPr>
          <w:rFonts w:ascii="Courier New" w:cs="Courier New" w:eastAsia="Courier New" w:hAnsi="Courier New"/>
          <w:color w:val="1B2A4A"/>
          <w:sz w:val="16"/>
          <w:szCs w:val="16"/>
        </w:rPr>
        <w:t xml:space="preserve">  19. india-fintech-infrastructure → industries/fintech-payments/india-fintech-infrastructure.html</w:t>
      </w:r>
    </w:p>
    <w:p>
      <w:pPr>
        <w:shd w:fill="F0F0F0" w:val="clear"/>
        <w:spacing w:after="14" w:before="14"/>
        <w:ind w:left="360"/>
      </w:pPr>
      <w:r>
        <w:rPr>
          <w:rFonts w:ascii="Courier New" w:cs="Courier New" w:eastAsia="Courier New" w:hAnsi="Courier New"/>
          <w:color w:val="1B2A4A"/>
          <w:sz w:val="16"/>
          <w:szCs w:val="16"/>
        </w:rPr>
        <w:t xml:space="preserve">  20. india-gulf-fmcg-combined → industries/cpg-fmcg-retail/india-gulf-fmcg-combined.html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1 — VERIFY FILES</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ls data/industry-pages-batch14.json</w:t>
      </w:r>
    </w:p>
    <w:p>
      <w:pPr>
        <w:shd w:fill="F0F0F0" w:val="clear"/>
        <w:spacing w:after="14" w:before="14"/>
        <w:ind w:left="360"/>
      </w:pPr>
      <w:r>
        <w:rPr>
          <w:rFonts w:ascii="Courier New" w:cs="Courier New" w:eastAsia="Courier New" w:hAnsi="Courier New"/>
          <w:color w:val="1B2A4A"/>
          <w:sz w:val="16"/>
          <w:szCs w:val="16"/>
        </w:rPr>
        <w:t xml:space="preserve">  ls templates/industry-page-template.html</w:t>
      </w:r>
    </w:p>
    <w:p>
      <w:pPr>
        <w:shd w:fill="F0F0F0" w:val="clear"/>
        <w:spacing w:after="14" w:before="14"/>
        <w:ind w:left="360"/>
      </w:pPr>
      <w:r>
        <w:rPr>
          <w:rFonts w:ascii="Courier New" w:cs="Courier New" w:eastAsia="Courier New" w:hAnsi="Courier New"/>
          <w:color w:val="1B2A4A"/>
          <w:sz w:val="16"/>
          <w:szCs w:val="16"/>
        </w:rPr>
        <w:t xml:space="preserve">If JSON missing: stop and tell me.</w:t>
      </w:r>
    </w:p>
    <w:p>
      <w:pPr>
        <w:shd w:fill="F0F0F0" w:val="clear"/>
        <w:spacing w:after="14" w:before="14"/>
        <w:ind w:left="360"/>
      </w:pPr>
      <w:r>
        <w:rPr>
          <w:rFonts w:ascii="Courier New" w:cs="Courier New" w:eastAsia="Courier New" w:hAnsi="Courier New"/>
          <w:color w:val="1B2A4A"/>
          <w:sz w:val="16"/>
          <w:szCs w:val="16"/>
        </w:rPr>
        <w:t xml:space="preserve">If template missing: copy an existing industry page,</w:t>
      </w:r>
    </w:p>
    <w:p>
      <w:pPr>
        <w:shd w:fill="F0F0F0" w:val="clear"/>
        <w:spacing w:after="14" w:before="14"/>
        <w:ind w:left="360"/>
      </w:pPr>
      <w:r>
        <w:rPr>
          <w:rFonts w:ascii="Courier New" w:cs="Courier New" w:eastAsia="Courier New" w:hAnsi="Courier New"/>
          <w:color w:val="1B2A4A"/>
          <w:sz w:val="16"/>
          <w:szCs w:val="16"/>
        </w:rPr>
        <w:t xml:space="preserve">  tokenise all industry-specific content, then continue.</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2 — BUILD ALL 20 PAGES</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Read data/industry-pages-batch14.json.</w:t>
      </w:r>
    </w:p>
    <w:p>
      <w:pPr>
        <w:shd w:fill="F0F0F0" w:val="clear"/>
        <w:spacing w:after="14" w:before="14"/>
        <w:ind w:left="360"/>
      </w:pPr>
      <w:r>
        <w:rPr>
          <w:rFonts w:ascii="Courier New" w:cs="Courier New" w:eastAsia="Courier New" w:hAnsi="Courier New"/>
          <w:color w:val="1B2A4A"/>
          <w:sz w:val="16"/>
          <w:szCs w:val="16"/>
        </w:rPr>
        <w:t xml:space="preserve">For EACH page object:</w:t>
      </w:r>
    </w:p>
    <w:p>
      <w:pPr>
        <w:shd w:fill="F0F0F0" w:val="clear"/>
        <w:spacing w:after="14" w:before="14"/>
        <w:ind w:left="360"/>
      </w:pPr>
      <w:r>
        <w:rPr>
          <w:rFonts w:ascii="Courier New" w:cs="Courier New" w:eastAsia="Courier New" w:hAnsi="Courier New"/>
          <w:color w:val="1B2A4A"/>
          <w:sz w:val="16"/>
          <w:szCs w:val="16"/>
        </w:rPr>
        <w:t xml:space="preserve">  A. mkdir -p industries/[parent]</w:t>
      </w:r>
    </w:p>
    <w:p>
      <w:pPr>
        <w:shd w:fill="F0F0F0" w:val="clear"/>
        <w:spacing w:after="14" w:before="14"/>
        <w:ind w:left="360"/>
      </w:pPr>
      <w:r>
        <w:rPr>
          <w:rFonts w:ascii="Courier New" w:cs="Courier New" w:eastAsia="Courier New" w:hAnsi="Courier New"/>
          <w:color w:val="1B2A4A"/>
          <w:sz w:val="16"/>
          <w:szCs w:val="16"/>
        </w:rPr>
        <w:t xml:space="preserve">  B. Read template fresh as string</w:t>
      </w:r>
    </w:p>
    <w:p>
      <w:pPr>
        <w:shd w:fill="F0F0F0" w:val="clear"/>
        <w:spacing w:after="14" w:before="14"/>
        <w:ind w:left="360"/>
      </w:pPr>
      <w:r>
        <w:rPr>
          <w:rFonts w:ascii="Courier New" w:cs="Courier New" w:eastAsia="Courier New" w:hAnsi="Courier New"/>
          <w:color w:val="1B2A4A"/>
          <w:sz w:val="16"/>
          <w:szCs w:val="16"/>
        </w:rPr>
        <w:t xml:space="preserve">  C. Replace ALL tokens:</w:t>
      </w:r>
    </w:p>
    <w:p>
      <w:pPr>
        <w:shd w:fill="F0F0F0" w:val="clear"/>
        <w:spacing w:after="14" w:before="14"/>
        <w:ind w:left="360"/>
      </w:pPr>
      <w:r>
        <w:rPr>
          <w:rFonts w:ascii="Courier New" w:cs="Courier New" w:eastAsia="Courier New" w:hAnsi="Courier New"/>
          <w:color w:val="1B2A4A"/>
          <w:sz w:val="16"/>
          <w:szCs w:val="16"/>
        </w:rPr>
        <w:t xml:space="preserve">     {{PAGE_TITLE}} {{META_DESC}} {{KEYWORDS}} {{SLUG}}</w:t>
      </w:r>
    </w:p>
    <w:p>
      <w:pPr>
        <w:shd w:fill="F0F0F0" w:val="clear"/>
        <w:spacing w:after="14" w:before="14"/>
        <w:ind w:left="360"/>
      </w:pPr>
      <w:r>
        <w:rPr>
          <w:rFonts w:ascii="Courier New" w:cs="Courier New" w:eastAsia="Courier New" w:hAnsi="Courier New"/>
          <w:color w:val="1B2A4A"/>
          <w:sz w:val="16"/>
          <w:szCs w:val="16"/>
        </w:rPr>
        <w:t xml:space="preserve">     {{H1}} {{TAGLINE}} {{HERO_BODY}} {{MARKET_TIMING}}</w:t>
      </w:r>
    </w:p>
    <w:p>
      <w:pPr>
        <w:shd w:fill="F0F0F0" w:val="clear"/>
        <w:spacing w:after="14" w:before="14"/>
        <w:ind w:left="360"/>
      </w:pPr>
      <w:r>
        <w:rPr>
          <w:rFonts w:ascii="Courier New" w:cs="Courier New" w:eastAsia="Courier New" w:hAnsi="Courier New"/>
          <w:color w:val="1B2A4A"/>
          <w:sz w:val="16"/>
          <w:szCs w:val="16"/>
        </w:rPr>
        <w:t xml:space="preserve">     {{REGIONS}}</w:t>
      </w:r>
    </w:p>
    <w:p>
      <w:pPr>
        <w:shd w:fill="F0F0F0" w:val="clear"/>
        <w:spacing w:after="14" w:before="14"/>
        <w:ind w:left="360"/>
      </w:pPr>
      <w:r>
        <w:rPr>
          <w:rFonts w:ascii="Courier New" w:cs="Courier New" w:eastAsia="Courier New" w:hAnsi="Courier New"/>
          <w:color w:val="1B2A4A"/>
          <w:sz w:val="16"/>
          <w:szCs w:val="16"/>
        </w:rPr>
        <w:t xml:space="preserve">     {{STAT1N}} {{STAT1L}} {{STAT1B}}</w:t>
      </w:r>
    </w:p>
    <w:p>
      <w:pPr>
        <w:shd w:fill="F0F0F0" w:val="clear"/>
        <w:spacing w:after="14" w:before="14"/>
        <w:ind w:left="360"/>
      </w:pPr>
      <w:r>
        <w:rPr>
          <w:rFonts w:ascii="Courier New" w:cs="Courier New" w:eastAsia="Courier New" w:hAnsi="Courier New"/>
          <w:color w:val="1B2A4A"/>
          <w:sz w:val="16"/>
          <w:szCs w:val="16"/>
        </w:rPr>
        <w:t xml:space="preserve">     {{STAT2N}} {{STAT2L}} {{STAT2B}}</w:t>
      </w:r>
    </w:p>
    <w:p>
      <w:pPr>
        <w:shd w:fill="F0F0F0" w:val="clear"/>
        <w:spacing w:after="14" w:before="14"/>
        <w:ind w:left="360"/>
      </w:pPr>
      <w:r>
        <w:rPr>
          <w:rFonts w:ascii="Courier New" w:cs="Courier New" w:eastAsia="Courier New" w:hAnsi="Courier New"/>
          <w:color w:val="1B2A4A"/>
          <w:sz w:val="16"/>
          <w:szCs w:val="16"/>
        </w:rPr>
        <w:t xml:space="preserve">     {{STAT3N}} {{STAT3L}} {{STAT3B}}</w:t>
      </w:r>
    </w:p>
    <w:p>
      <w:pPr>
        <w:shd w:fill="F0F0F0" w:val="clear"/>
        <w:spacing w:after="14" w:before="14"/>
        <w:ind w:left="360"/>
      </w:pPr>
      <w:r>
        <w:rPr>
          <w:rFonts w:ascii="Courier New" w:cs="Courier New" w:eastAsia="Courier New" w:hAnsi="Courier New"/>
          <w:color w:val="1B2A4A"/>
          <w:sz w:val="16"/>
          <w:szCs w:val="16"/>
        </w:rPr>
        <w:t xml:space="preserve">     {{INSIGHT_1}} {{INSIGHT_2}} {{INSIGHT_3}} {{INSIGHT_4}}</w:t>
      </w:r>
    </w:p>
    <w:p>
      <w:pPr>
        <w:shd w:fill="F0F0F0" w:val="clear"/>
        <w:spacing w:after="14" w:before="14"/>
        <w:ind w:left="360"/>
      </w:pPr>
      <w:r>
        <w:rPr>
          <w:rFonts w:ascii="Courier New" w:cs="Courier New" w:eastAsia="Courier New" w:hAnsi="Courier New"/>
          <w:color w:val="1B2A4A"/>
          <w:sz w:val="16"/>
          <w:szCs w:val="16"/>
        </w:rPr>
        <w:t xml:space="preserve">     {{CHALLENGE_M_1}} through {{CHALLENGE_M_4}}</w:t>
      </w:r>
    </w:p>
    <w:p>
      <w:pPr>
        <w:shd w:fill="F0F0F0" w:val="clear"/>
        <w:spacing w:after="14" w:before="14"/>
        <w:ind w:left="360"/>
      </w:pPr>
      <w:r>
        <w:rPr>
          <w:rFonts w:ascii="Courier New" w:cs="Courier New" w:eastAsia="Courier New" w:hAnsi="Courier New"/>
          <w:color w:val="1B2A4A"/>
          <w:sz w:val="16"/>
          <w:szCs w:val="16"/>
        </w:rPr>
        <w:t xml:space="preserve">     challenges_we_solve[i].split('|') for i=0..5:</w:t>
      </w:r>
    </w:p>
    <w:p>
      <w:pPr>
        <w:shd w:fill="F0F0F0" w:val="clear"/>
        <w:spacing w:after="14" w:before="14"/>
        <w:ind w:left="360"/>
      </w:pPr>
      <w:r>
        <w:rPr>
          <w:rFonts w:ascii="Courier New" w:cs="Courier New" w:eastAsia="Courier New" w:hAnsi="Courier New"/>
          <w:color w:val="1B2A4A"/>
          <w:sz w:val="16"/>
          <w:szCs w:val="16"/>
        </w:rPr>
        <w:t xml:space="preserve">       parts[0].trim() → {{CHALLENGE_[i+1]_H}}</w:t>
      </w:r>
    </w:p>
    <w:p>
      <w:pPr>
        <w:shd w:fill="F0F0F0" w:val="clear"/>
        <w:spacing w:after="14" w:before="14"/>
        <w:ind w:left="360"/>
      </w:pPr>
      <w:r>
        <w:rPr>
          <w:rFonts w:ascii="Courier New" w:cs="Courier New" w:eastAsia="Courier New" w:hAnsi="Courier New"/>
          <w:color w:val="1B2A4A"/>
          <w:sz w:val="16"/>
          <w:szCs w:val="16"/>
        </w:rPr>
        <w:t xml:space="preserve">       parts[1].trim() → {{CHALLENGE_[i+1]_B}}</w:t>
      </w:r>
    </w:p>
    <w:p>
      <w:pPr>
        <w:shd w:fill="F0F0F0" w:val="clear"/>
        <w:spacing w:after="14" w:before="14"/>
        <w:ind w:left="360"/>
      </w:pPr>
      <w:r>
        <w:rPr>
          <w:rFonts w:ascii="Courier New" w:cs="Courier New" w:eastAsia="Courier New" w:hAnsi="Courier New"/>
          <w:color w:val="1B2A4A"/>
          <w:sz w:val="16"/>
          <w:szCs w:val="16"/>
        </w:rPr>
        <w:t xml:space="preserve">     service_angles[i] for i=0..5 → {{SERVICE_[i+1]_BODY}}</w:t>
      </w:r>
    </w:p>
    <w:p>
      <w:pPr>
        <w:shd w:fill="F0F0F0" w:val="clear"/>
        <w:spacing w:after="14" w:before="14"/>
        <w:ind w:left="360"/>
      </w:pPr>
      <w:r>
        <w:rPr>
          <w:rFonts w:ascii="Courier New" w:cs="Courier New" w:eastAsia="Courier New" w:hAnsi="Courier New"/>
          <w:color w:val="1B2A4A"/>
          <w:sz w:val="16"/>
          <w:szCs w:val="16"/>
        </w:rPr>
        <w:t xml:space="preserve">     faq[i].split('|') for i=0..3:</w:t>
      </w:r>
    </w:p>
    <w:p>
      <w:pPr>
        <w:shd w:fill="F0F0F0" w:val="clear"/>
        <w:spacing w:after="14" w:before="14"/>
        <w:ind w:left="360"/>
      </w:pPr>
      <w:r>
        <w:rPr>
          <w:rFonts w:ascii="Courier New" w:cs="Courier New" w:eastAsia="Courier New" w:hAnsi="Courier New"/>
          <w:color w:val="1B2A4A"/>
          <w:sz w:val="16"/>
          <w:szCs w:val="16"/>
        </w:rPr>
        <w:t xml:space="preserve">       parts[0].trim() → {{FAQ_[i+1]_Q}}</w:t>
      </w:r>
    </w:p>
    <w:p>
      <w:pPr>
        <w:shd w:fill="F0F0F0" w:val="clear"/>
        <w:spacing w:after="14" w:before="14"/>
        <w:ind w:left="360"/>
      </w:pPr>
      <w:r>
        <w:rPr>
          <w:rFonts w:ascii="Courier New" w:cs="Courier New" w:eastAsia="Courier New" w:hAnsi="Courier New"/>
          <w:color w:val="1B2A4A"/>
          <w:sz w:val="16"/>
          <w:szCs w:val="16"/>
        </w:rPr>
        <w:t xml:space="preserve">       parts[1].trim() → {{FAQ_[i+1]_A}}</w:t>
      </w:r>
    </w:p>
    <w:p>
      <w:pPr>
        <w:shd w:fill="F0F0F0" w:val="clear"/>
        <w:spacing w:after="14" w:before="14"/>
        <w:ind w:left="360"/>
      </w:pPr>
      <w:r>
        <w:rPr>
          <w:rFonts w:ascii="Courier New" w:cs="Courier New" w:eastAsia="Courier New" w:hAnsi="Courier New"/>
          <w:color w:val="1B2A4A"/>
          <w:sz w:val="16"/>
          <w:szCs w:val="16"/>
        </w:rPr>
        <w:t xml:space="preserve">     {{SCHEMA_SERVICE}} → JSON-LD Service schema</w:t>
      </w:r>
    </w:p>
    <w:p>
      <w:pPr>
        <w:shd w:fill="F0F0F0" w:val="clear"/>
        <w:spacing w:after="14" w:before="14"/>
        <w:ind w:left="360"/>
      </w:pPr>
      <w:r>
        <w:rPr>
          <w:rFonts w:ascii="Courier New" w:cs="Courier New" w:eastAsia="Courier New" w:hAnsi="Courier New"/>
          <w:color w:val="1B2A4A"/>
          <w:sz w:val="16"/>
          <w:szCs w:val="16"/>
        </w:rPr>
        <w:t xml:space="preserve">     {{SCHEMA_FAQ}} → JSON-LD FAQPage schema</w:t>
      </w:r>
    </w:p>
    <w:p>
      <w:pPr>
        <w:shd w:fill="F0F0F0" w:val="clear"/>
        <w:spacing w:after="14" w:before="14"/>
        <w:ind w:left="360"/>
      </w:pPr>
      <w:r>
        <w:rPr>
          <w:rFonts w:ascii="Courier New" w:cs="Courier New" w:eastAsia="Courier New" w:hAnsi="Courier New"/>
          <w:color w:val="1B2A4A"/>
          <w:sz w:val="16"/>
          <w:szCs w:val="16"/>
        </w:rPr>
        <w:t xml:space="preserve">  D. Scan remaining {{ }}: replace empty, log warning</w:t>
      </w:r>
    </w:p>
    <w:p>
      <w:pPr>
        <w:shd w:fill="F0F0F0" w:val="clear"/>
        <w:spacing w:after="14" w:before="14"/>
        <w:ind w:left="360"/>
      </w:pPr>
      <w:r>
        <w:rPr>
          <w:rFonts w:ascii="Courier New" w:cs="Courier New" w:eastAsia="Courier New" w:hAnsi="Courier New"/>
          <w:color w:val="1B2A4A"/>
          <w:sz w:val="16"/>
          <w:szCs w:val="16"/>
        </w:rPr>
        <w:t xml:space="preserve">  E. Write file. Log: Created: [path]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3 — SITEMAP + NAV</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Add all 20 URLs to sitemap.xml (priority 0.7).</w:t>
      </w:r>
    </w:p>
    <w:p>
      <w:pPr>
        <w:shd w:fill="F0F0F0" w:val="clear"/>
        <w:spacing w:after="14" w:before="14"/>
        <w:ind w:left="360"/>
      </w:pPr>
      <w:r>
        <w:rPr>
          <w:rFonts w:ascii="Courier New" w:cs="Courier New" w:eastAsia="Courier New" w:hAnsi="Courier New"/>
          <w:color w:val="1B2A4A"/>
          <w:sz w:val="16"/>
          <w:szCs w:val="16"/>
        </w:rPr>
        <w:t xml:space="preserve">Update industries nav dropdown — do not remove existing.</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4 — CONFIRM</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Pages created: [N] — must equal 20</w:t>
      </w:r>
    </w:p>
    <w:p>
      <w:pPr>
        <w:shd w:fill="F0F0F0" w:val="clear"/>
        <w:spacing w:after="14" w:before="14"/>
        <w:ind w:left="360"/>
      </w:pPr>
      <w:r>
        <w:rPr>
          <w:rFonts w:ascii="Courier New" w:cs="Courier New" w:eastAsia="Courier New" w:hAnsi="Courier New"/>
          <w:color w:val="1B2A4A"/>
          <w:sz w:val="16"/>
          <w:szCs w:val="16"/>
        </w:rPr>
        <w:t xml:space="preserve">Full list of all 20 file paths</w:t>
      </w:r>
    </w:p>
    <w:p>
      <w:pPr>
        <w:shd w:fill="F0F0F0" w:val="clear"/>
        <w:spacing w:after="14" w:before="14"/>
        <w:ind w:left="360"/>
      </w:pPr>
      <w:r>
        <w:rPr>
          <w:rFonts w:ascii="Courier New" w:cs="Courier New" w:eastAsia="Courier New" w:hAnsi="Courier New"/>
          <w:color w:val="1B2A4A"/>
          <w:sz w:val="16"/>
          <w:szCs w:val="16"/>
        </w:rPr>
        <w:t xml:space="preserve">Token warnings count</w:t>
      </w:r>
    </w:p>
    <w:p>
      <w:pPr>
        <w:shd w:fill="F0F0F0" w:val="clear"/>
        <w:spacing w:after="14" w:before="14"/>
        <w:ind w:left="360"/>
      </w:pPr>
      <w:r>
        <w:rPr>
          <w:rFonts w:ascii="Courier New" w:cs="Courier New" w:eastAsia="Courier New" w:hAnsi="Courier New"/>
          <w:color w:val="1B2A4A"/>
          <w:sz w:val="16"/>
          <w:szCs w:val="16"/>
        </w:rPr>
        <w:t xml:space="preserve">Sitemap updated: yes/no</w:t>
      </w:r>
    </w:p>
    <w:p>
      <w:pPr>
        <w:shd w:fill="F0F0F0" w:val="clear"/>
        <w:spacing w:after="14" w:before="14"/>
        <w:ind w:left="360"/>
      </w:pPr>
      <w:r>
        <w:rPr>
          <w:rFonts w:ascii="Courier New" w:cs="Courier New" w:eastAsia="Courier New" w:hAnsi="Courier New"/>
          <w:color w:val="1B2A4A"/>
          <w:sz w:val="16"/>
          <w:szCs w:val="16"/>
        </w:rPr>
        <w:t xml:space="preserve">Navigation updated: yes/no</w:t>
      </w:r>
    </w:p>
    <w:p>
      <w:pPr>
        <w:shd w:fill="F0F0F0" w:val="clear"/>
        <w:spacing w:after="14" w:before="14"/>
        <w:ind w:left="360"/>
      </w:pPr>
      <w:r>
        <w:rPr>
          <w:rFonts w:ascii="Courier New" w:cs="Courier New" w:eastAsia="Courier New" w:hAnsi="Courier New"/>
          <w:color w:val="1B2A4A"/>
          <w:sz w:val="16"/>
          <w:szCs w:val="16"/>
        </w:rPr>
        <w:t xml:space="preserve">Any failures with exact reason</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DO NOT write scripts. DO NOT rebuild existing pages.</w:t>
      </w:r>
    </w:p>
    <w:p>
      <w:pPr>
        <w:shd w:fill="F0F0F0" w:val="clear"/>
        <w:spacing w:after="14" w:before="14"/>
        <w:ind w:left="360"/>
      </w:pPr>
      <w:r>
        <w:rPr>
          <w:rFonts w:ascii="Courier New" w:cs="Courier New" w:eastAsia="Courier New" w:hAnsi="Courier New"/>
          <w:color w:val="1B2A4A"/>
          <w:sz w:val="16"/>
          <w:szCs w:val="16"/>
        </w:rPr>
        <w:t xml:space="preserve">Read JSON. Loop. Replace tokens. Write files.</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3: JSON appendix — save as data/industry-pages-batch14.json</w:t>
      </w:r>
    </w:p>
    <w:p>
      <w:pPr>
        <w:spacing w:after="60" w:before="60"/>
      </w:pPr>
      <w:r>
        <w:rPr>
          <w:rFonts w:ascii="Arial" w:cs="Arial" w:eastAsia="Arial" w:hAnsi="Arial"/>
          <w:i/>
          <w:iCs/>
          <w:color w:val="666666"/>
          <w:sz w:val="18"/>
          <w:szCs w:val="18"/>
        </w:rPr>
        <w:t xml:space="preserve">20 page objects. Copy and save as data/industry-pages-batch14.json in Replit.</w:t>
      </w:r>
    </w:p>
    <w:p>
      <w:pPr>
        <w:spacing w:after="4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"africa-logistics-market-entry",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"logistics-supply-chain",</w:t>
      </w:r>
    </w:p>
    <w:p>
      <w:pPr>
        <w:shd w:fill="F0F0F0" w:val="clear"/>
        <w:spacing w:after="14" w:before="14"/>
        <w:ind w:left="360"/>
      </w:pPr>
      <w:r>
        <w:rPr>
          <w:rFonts w:ascii="Courier New" w:cs="Courier New" w:eastAsia="Courier New" w:hAnsi="Courier New"/>
          <w:color w:val="1B2A4A"/>
          <w:sz w:val="16"/>
          <w:szCs w:val="16"/>
        </w:rPr>
        <w:t xml:space="preserve">    "title": "Africa Logistics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logistics companies enter Africa with market entry strategy, regulatory mapping, and partner identification across Nigeria, Kenya, South Africa, and Ethiopia.",</w:t>
      </w:r>
    </w:p>
    <w:p>
      <w:pPr>
        <w:shd w:fill="F0F0F0" w:val="clear"/>
        <w:spacing w:after="14" w:before="14"/>
        <w:ind w:left="360"/>
      </w:pPr>
      <w:r>
        <w:rPr>
          <w:rFonts w:ascii="Courier New" w:cs="Courier New" w:eastAsia="Courier New" w:hAnsi="Courier New"/>
          <w:color w:val="1B2A4A"/>
          <w:sz w:val="16"/>
          <w:szCs w:val="16"/>
        </w:rPr>
        <w:t xml:space="preserve">    "h1": "Africa logistics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logistics operation to African supply chain — strategy for logistics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logistics market is one of the world's most challenging and most rewarding — with a continent of 54 countries, massive intra-African trade growth driven by AfCFTA, rapidly growing e-commerce logistics, significant infrastructure development investment, and logistics cost-to-GDP ratios among the world's highest creating significant improvement opportunity. International 3PL operators, cold chain logistics companies, freight forwarding businesses, and logistics technology providers are all evaluating Africa market entry. GreyRadius helps logistics companies prioritise African markets, navigate regulatory requirements, identify partners, and execute entry.",</w:t>
      </w:r>
    </w:p>
    <w:p>
      <w:pPr>
        <w:shd w:fill="F0F0F0" w:val="clear"/>
        <w:spacing w:after="14" w:before="14"/>
        <w:ind w:left="360"/>
      </w:pPr>
      <w:r>
        <w:rPr>
          <w:rFonts w:ascii="Courier New" w:cs="Courier New" w:eastAsia="Courier New" w:hAnsi="Courier New"/>
          <w:color w:val="1B2A4A"/>
          <w:sz w:val="16"/>
          <w:szCs w:val="16"/>
        </w:rPr>
        <w:t xml:space="preserve">    "market_timing": "AfCFTA — the African Continental Free Trade Area covering 54 countries and 1.4 billion people — is creating the world's largest free trade zone and driving intra-African trade growth that requires logistics infrastructure. Africa e-commerce is growing at 40% annually driving last-mile logistics demand. The logistics companies establishing African supply chain relationships in 2024–2027 will capture the intra-Africa trade flows that are beginning to materialise at scale.",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 logistics market is projected to reach $100B by 2028 — growing at 12% annually as AfCFTA trade, e-commerce, and infrastructure investment all drive demand across the continent.",</w:t>
      </w:r>
    </w:p>
    <w:p>
      <w:pPr>
        <w:shd w:fill="F0F0F0" w:val="clear"/>
        <w:spacing w:after="14" w:before="14"/>
        <w:ind w:left="360"/>
      </w:pPr>
      <w:r>
        <w:rPr>
          <w:rFonts w:ascii="Courier New" w:cs="Courier New" w:eastAsia="Courier New" w:hAnsi="Courier New"/>
          <w:color w:val="1B2A4A"/>
          <w:sz w:val="16"/>
          <w:szCs w:val="16"/>
        </w:rPr>
        <w:t xml:space="preserve">      "AfCFTA implementation is transforming intra-African trade — tariff reductions across 54 countries creating significant new freight flows that require expanded cross-border logistics capacity.",</w:t>
      </w:r>
    </w:p>
    <w:p>
      <w:pPr>
        <w:shd w:fill="F0F0F0" w:val="clear"/>
        <w:spacing w:after="14" w:before="14"/>
        <w:ind w:left="360"/>
      </w:pPr>
      <w:r>
        <w:rPr>
          <w:rFonts w:ascii="Courier New" w:cs="Courier New" w:eastAsia="Courier New" w:hAnsi="Courier New"/>
          <w:color w:val="1B2A4A"/>
          <w:sz w:val="16"/>
          <w:szCs w:val="16"/>
        </w:rPr>
        <w:t xml:space="preserve">      "East Africa is the most developed African logistics market — Mombasa-Nairobi Standard Gauge Railway, Dar es Salaam port expansion, and Addis Ababa logistics hubs creating efficient East African supply chains.",</w:t>
      </w:r>
    </w:p>
    <w:p>
      <w:pPr>
        <w:shd w:fill="F0F0F0" w:val="clear"/>
        <w:spacing w:after="14" w:before="14"/>
        <w:ind w:left="360"/>
      </w:pPr>
      <w:r>
        <w:rPr>
          <w:rFonts w:ascii="Courier New" w:cs="Courier New" w:eastAsia="Courier New" w:hAnsi="Courier New"/>
          <w:color w:val="1B2A4A"/>
          <w:sz w:val="16"/>
          <w:szCs w:val="16"/>
        </w:rPr>
        <w:t xml:space="preserve">      "Cold chain logistics is severely underdeveloped across most African markets — pharmaceutical distribution, fresh food exports, and food security programmes all creating significant cold chain investment demand."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"Infrastructure quality is highly variable — road quality, port efficiency, and power reliability vary dramatically across African markets affecting logistics cost and service reliability.",</w:t>
      </w:r>
    </w:p>
    <w:p>
      <w:pPr>
        <w:shd w:fill="F0F0F0" w:val="clear"/>
        <w:spacing w:after="14" w:before="14"/>
        <w:ind w:left="360"/>
      </w:pPr>
      <w:r>
        <w:rPr>
          <w:rFonts w:ascii="Courier New" w:cs="Courier New" w:eastAsia="Courier New" w:hAnsi="Courier New"/>
          <w:color w:val="1B2A4A"/>
          <w:sz w:val="16"/>
          <w:szCs w:val="16"/>
        </w:rPr>
        <w:t xml:space="preserve">      "Cross-border documentation and customs processes are complex — despite AfCFTA progress, each African border crossing involves different procedures and informal costs that add time and expense.",</w:t>
      </w:r>
    </w:p>
    <w:p>
      <w:pPr>
        <w:shd w:fill="F0F0F0" w:val="clear"/>
        <w:spacing w:after="14" w:before="14"/>
        <w:ind w:left="360"/>
      </w:pPr>
      <w:r>
        <w:rPr>
          <w:rFonts w:ascii="Courier New" w:cs="Courier New" w:eastAsia="Courier New" w:hAnsi="Courier New"/>
          <w:color w:val="1B2A4A"/>
          <w:sz w:val="16"/>
          <w:szCs w:val="16"/>
        </w:rPr>
        <w:t xml:space="preserve">      "Currency risk across 54 markets — logistics pricing in hard currency versus local currency management creates financial complexity in cross-border African logistics operations.",</w:t>
      </w:r>
    </w:p>
    <w:p>
      <w:pPr>
        <w:shd w:fill="F0F0F0" w:val="clear"/>
        <w:spacing w:after="14" w:before="14"/>
        <w:ind w:left="360"/>
      </w:pPr>
      <w:r>
        <w:rPr>
          <w:rFonts w:ascii="Courier New" w:cs="Courier New" w:eastAsia="Courier New" w:hAnsi="Courier New"/>
          <w:color w:val="1B2A4A"/>
          <w:sz w:val="16"/>
          <w:szCs w:val="16"/>
        </w:rPr>
        <w:t xml:space="preserve">      "Security concerns affect logistics operations in some regions — armed conflict and theft risk require specific operational protocols in higher-risk African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logistics market prioritisation|You need to identify which African markets offer the best combination of logistics demand, infrastructure quality, and regulatory predictability for your service.",</w:t>
      </w:r>
    </w:p>
    <w:p>
      <w:pPr>
        <w:shd w:fill="F0F0F0" w:val="clear"/>
        <w:spacing w:after="14" w:before="14"/>
        <w:ind w:left="360"/>
      </w:pPr>
      <w:r>
        <w:rPr>
          <w:rFonts w:ascii="Courier New" w:cs="Courier New" w:eastAsia="Courier New" w:hAnsi="Courier New"/>
          <w:color w:val="1B2A4A"/>
          <w:sz w:val="16"/>
          <w:szCs w:val="16"/>
        </w:rPr>
        <w:t xml:space="preserve">      "Country-specific regulatory pathway|You need to understand logistics licensing, customs broker requirements, and operating permits in each target African market.",</w:t>
      </w:r>
    </w:p>
    <w:p>
      <w:pPr>
        <w:shd w:fill="F0F0F0" w:val="clear"/>
        <w:spacing w:after="14" w:before="14"/>
        <w:ind w:left="360"/>
      </w:pPr>
      <w:r>
        <w:rPr>
          <w:rFonts w:ascii="Courier New" w:cs="Courier New" w:eastAsia="Courier New" w:hAnsi="Courier New"/>
          <w:color w:val="1B2A4A"/>
          <w:sz w:val="16"/>
          <w:szCs w:val="16"/>
        </w:rPr>
        <w:t xml:space="preserve">      "Africa logistics partner identification|You need country-specific 3PL operators, customs brokers, and last-mile logistics companies as commercial partners.",</w:t>
      </w:r>
    </w:p>
    <w:p>
      <w:pPr>
        <w:shd w:fill="F0F0F0" w:val="clear"/>
        <w:spacing w:after="14" w:before="14"/>
        <w:ind w:left="360"/>
      </w:pPr>
      <w:r>
        <w:rPr>
          <w:rFonts w:ascii="Courier New" w:cs="Courier New" w:eastAsia="Courier New" w:hAnsi="Courier New"/>
          <w:color w:val="1B2A4A"/>
          <w:sz w:val="16"/>
          <w:szCs w:val="16"/>
        </w:rPr>
        <w:t xml:space="preserve">      "Africa logistics GTM strategy|You need a market-by-market enterprise shipper acquisition plan tailored to African buyer behaviour.",</w:t>
      </w:r>
    </w:p>
    <w:p>
      <w:pPr>
        <w:shd w:fill="F0F0F0" w:val="clear"/>
        <w:spacing w:after="14" w:before="14"/>
        <w:ind w:left="360"/>
      </w:pPr>
      <w:r>
        <w:rPr>
          <w:rFonts w:ascii="Courier New" w:cs="Courier New" w:eastAsia="Courier New" w:hAnsi="Courier New"/>
          <w:color w:val="1B2A4A"/>
          <w:sz w:val="16"/>
          <w:szCs w:val="16"/>
        </w:rPr>
        <w:t xml:space="preserve">      "Raising capital for Africa logistics investment|You need a pitch book grounded in AfCFTA trade flow data and African logistics market sizing.",</w:t>
      </w:r>
    </w:p>
    <w:p>
      <w:pPr>
        <w:shd w:fill="F0F0F0" w:val="clear"/>
        <w:spacing w:after="14" w:before="14"/>
        <w:ind w:left="360"/>
      </w:pPr>
      <w:r>
        <w:rPr>
          <w:rFonts w:ascii="Courier New" w:cs="Courier New" w:eastAsia="Courier New" w:hAnsi="Courier New"/>
          <w:color w:val="1B2A4A"/>
          <w:sz w:val="16"/>
          <w:szCs w:val="16"/>
        </w:rPr>
        <w:t xml:space="preserve">      "AfCFTA opportunity mapping|You need to understand which AfCFTA trade corridors create the most significant logistics demand for your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shipper demand and AfCFTA trade flows across priority African markets with primary research and corridor analysis.",</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logistics investment covering multi-market infrastructure costs and operational economics.",</w:t>
      </w:r>
    </w:p>
    <w:p>
      <w:pPr>
        <w:shd w:fill="F0F0F0" w:val="clear"/>
        <w:spacing w:after="14" w:before="14"/>
        <w:ind w:left="360"/>
      </w:pPr>
      <w:r>
        <w:rPr>
          <w:rFonts w:ascii="Courier New" w:cs="Courier New" w:eastAsia="Courier New" w:hAnsi="Courier New"/>
          <w:color w:val="1B2A4A"/>
          <w:sz w:val="16"/>
          <w:szCs w:val="16"/>
        </w:rPr>
        <w:t xml:space="preserve">      "End-to-end Africa logistics market entry including country-specific partner identification and first-client milestone.",</w:t>
      </w:r>
    </w:p>
    <w:p>
      <w:pPr>
        <w:shd w:fill="F0F0F0" w:val="clear"/>
        <w:spacing w:after="14" w:before="14"/>
        <w:ind w:left="360"/>
      </w:pPr>
      <w:r>
        <w:rPr>
          <w:rFonts w:ascii="Courier New" w:cs="Courier New" w:eastAsia="Courier New" w:hAnsi="Courier New"/>
          <w:color w:val="1B2A4A"/>
          <w:sz w:val="16"/>
          <w:szCs w:val="16"/>
        </w:rPr>
        <w:t xml:space="preserve">      "Embedded Africa logistics GTM team covering shipper and enterprise outreach across priority markets.",</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logistics investment with AfCFTA trade flow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cross-border route optimisation to AfCFTA customs compliance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3PL operators or also with logistics technology and cold chain companies entering Africa?|All logistics categories including 3PL, freight forwarding, cold chain, and logistics technology.",</w:t>
      </w:r>
    </w:p>
    <w:p>
      <w:pPr>
        <w:shd w:fill="F0F0F0" w:val="clear"/>
        <w:spacing w:after="14" w:before="14"/>
        <w:ind w:left="360"/>
      </w:pPr>
      <w:r>
        <w:rPr>
          <w:rFonts w:ascii="Courier New" w:cs="Courier New" w:eastAsia="Courier New" w:hAnsi="Courier New"/>
          <w:color w:val="1B2A4A"/>
          <w:sz w:val="16"/>
          <w:szCs w:val="16"/>
        </w:rPr>
        <w:t xml:space="preserve">      "Which African logistics markets does GreyRadius prioritise?|Nigeria, South Africa, Kenya, and Ethiopia as primary markets covering all major African regions.",</w:t>
      </w:r>
    </w:p>
    <w:p>
      <w:pPr>
        <w:shd w:fill="F0F0F0" w:val="clear"/>
        <w:spacing w:after="14" w:before="14"/>
        <w:ind w:left="360"/>
      </w:pPr>
      <w:r>
        <w:rPr>
          <w:rFonts w:ascii="Courier New" w:cs="Courier New" w:eastAsia="Courier New" w:hAnsi="Courier New"/>
          <w:color w:val="1B2A4A"/>
          <w:sz w:val="16"/>
          <w:szCs w:val="16"/>
        </w:rPr>
        <w:t xml:space="preserve">      "How long does an Africa logistics engagement take?|Typically 8–10 weeks for shipper demand research and regulatory mapping.",</w:t>
      </w:r>
    </w:p>
    <w:p>
      <w:pPr>
        <w:shd w:fill="F0F0F0" w:val="clear"/>
        <w:spacing w:after="14" w:before="14"/>
        <w:ind w:left="360"/>
      </w:pPr>
      <w:r>
        <w:rPr>
          <w:rFonts w:ascii="Courier New" w:cs="Courier New" w:eastAsia="Courier New" w:hAnsi="Courier New"/>
          <w:color w:val="1B2A4A"/>
          <w:sz w:val="16"/>
          <w:szCs w:val="16"/>
        </w:rPr>
        <w:t xml:space="preserve">      "Can GreyRadius identify African logistics partners in each target market?|Yes — country-specific partner identification is core to our Africa logistics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logistics market entry, Nigeria supply chain GTM strategy, Kenya logistics consulting, AfCFTA logistics advisory, Africa 3PL market entry, Sub-Saharan logistics strategy",</w:t>
      </w:r>
    </w:p>
    <w:p>
      <w:pPr>
        <w:shd w:fill="F0F0F0" w:val="clear"/>
        <w:spacing w:after="14" w:before="14"/>
        <w:ind w:left="360"/>
      </w:pPr>
      <w:r>
        <w:rPr>
          <w:rFonts w:ascii="Courier New" w:cs="Courier New" w:eastAsia="Courier New" w:hAnsi="Courier New"/>
          <w:color w:val="1B2A4A"/>
          <w:sz w:val="16"/>
          <w:szCs w:val="16"/>
        </w:rPr>
        <w:t xml:space="preserve">    "regions": "Nigeria, South Africa, Kenya, Ethiopia, Tanzania, Egypt",</w:t>
      </w:r>
    </w:p>
    <w:p>
      <w:pPr>
        <w:shd w:fill="F0F0F0" w:val="clear"/>
        <w:spacing w:after="14" w:before="14"/>
        <w:ind w:left="360"/>
      </w:pPr>
      <w:r>
        <w:rPr>
          <w:rFonts w:ascii="Courier New" w:cs="Courier New" w:eastAsia="Courier New" w:hAnsi="Courier New"/>
          <w:color w:val="1B2A4A"/>
          <w:sz w:val="16"/>
          <w:szCs w:val="16"/>
        </w:rPr>
        <w:t xml:space="preserve">    "stat1n": "$100B",</w:t>
      </w:r>
    </w:p>
    <w:p>
      <w:pPr>
        <w:shd w:fill="F0F0F0" w:val="clear"/>
        <w:spacing w:after="14" w:before="14"/>
        <w:ind w:left="360"/>
      </w:pPr>
      <w:r>
        <w:rPr>
          <w:rFonts w:ascii="Courier New" w:cs="Courier New" w:eastAsia="Courier New" w:hAnsi="Courier New"/>
          <w:color w:val="1B2A4A"/>
          <w:sz w:val="16"/>
          <w:szCs w:val="16"/>
        </w:rPr>
        <w:t xml:space="preserve">    "stat1l": "Africa logistics market by 2028",</w:t>
      </w:r>
    </w:p>
    <w:p>
      <w:pPr>
        <w:shd w:fill="F0F0F0" w:val="clear"/>
        <w:spacing w:after="14" w:before="14"/>
        <w:ind w:left="360"/>
      </w:pPr>
      <w:r>
        <w:rPr>
          <w:rFonts w:ascii="Courier New" w:cs="Courier New" w:eastAsia="Courier New" w:hAnsi="Courier New"/>
          <w:color w:val="1B2A4A"/>
          <w:sz w:val="16"/>
          <w:szCs w:val="16"/>
        </w:rPr>
        <w:t xml:space="preserve">    "stat1b": "AfCFTA free trade, e-commerce growth, and infrastructure investment driving 12% annual logistics market growth across 54 countries.",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logistics mandate",</w:t>
      </w:r>
    </w:p>
    <w:p>
      <w:pPr>
        <w:shd w:fill="F0F0F0" w:val="clear"/>
        <w:spacing w:after="14" w:before="14"/>
        <w:ind w:left="360"/>
      </w:pPr>
      <w:r>
        <w:rPr>
          <w:rFonts w:ascii="Courier New" w:cs="Courier New" w:eastAsia="Courier New" w:hAnsi="Courier New"/>
          <w:color w:val="1B2A4A"/>
          <w:sz w:val="16"/>
          <w:szCs w:val="16"/>
        </w:rPr>
        <w:t xml:space="preserve">    "stat2b": "African shippers, logistics operators, and customs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logistics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AfCFTA trade flow mapping and logistics demand research delivers Africa logistics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"india-insurance-market-entry",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"insurtech",</w:t>
      </w:r>
    </w:p>
    <w:p>
      <w:pPr>
        <w:shd w:fill="F0F0F0" w:val="clear"/>
        <w:spacing w:after="14" w:before="14"/>
        <w:ind w:left="360"/>
      </w:pPr>
      <w:r>
        <w:rPr>
          <w:rFonts w:ascii="Courier New" w:cs="Courier New" w:eastAsia="Courier New" w:hAnsi="Courier New"/>
          <w:color w:val="1B2A4A"/>
          <w:sz w:val="16"/>
          <w:szCs w:val="16"/>
        </w:rPr>
        <w:t xml:space="preserve">    "title": "India Insurance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insurance companies and insurtech businesses enter India with market entry strategy, IRDAI regulatory mapping, distribution partner identification, and fundraising support.",</w:t>
      </w:r>
    </w:p>
    <w:p>
      <w:pPr>
        <w:shd w:fill="F0F0F0" w:val="clear"/>
        <w:spacing w:after="14" w:before="14"/>
        <w:ind w:left="360"/>
      </w:pPr>
      <w:r>
        <w:rPr>
          <w:rFonts w:ascii="Courier New" w:cs="Courier New" w:eastAsia="Courier New" w:hAnsi="Courier New"/>
          <w:color w:val="1B2A4A"/>
          <w:sz w:val="16"/>
          <w:szCs w:val="16"/>
        </w:rPr>
        <w:t xml:space="preserve">    "h1": "India insurance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insurance product to Indian policyholder — strategy for insurance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insurance market is one of the world's most significant underserved opportunities — with insurance penetration of just 4% of GDP versus 11% in developed markets, 1.4 billion people, a government committed to insurance inclusion through multiple national programmes, and a regulatory environment that is actively opening to foreign insurance investment. International insurance companies, insurtech businesses, and reinsurance providers are all evaluating India as a market entry destination. GreyRadius helps insurance companies validate Indian insurance demand, navigate IRDAI regulatory requirements, identify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"India's insurance market is at an inflection point — IRDAI has liberalised FDI in insurance to 100%, launched the Bima Sugam digital insurance marketplace, and is actively encouraging new insurance product and distribution model innovation. The companies establishing Indian insurance positions in 2024–2027 will capture the rapidly expanding Indian insurance buyer population as incomes rise and awareness grows.",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insurance market is projected to reach $250B in premium by 2030 — growing at 15% annually as rising incomes, awareness, and digital distribution make insurance accessible to India's mass market.",</w:t>
      </w:r>
    </w:p>
    <w:p>
      <w:pPr>
        <w:shd w:fill="F0F0F0" w:val="clear"/>
        <w:spacing w:after="14" w:before="14"/>
        <w:ind w:left="360"/>
      </w:pPr>
      <w:r>
        <w:rPr>
          <w:rFonts w:ascii="Courier New" w:cs="Courier New" w:eastAsia="Courier New" w:hAnsi="Courier New"/>
          <w:color w:val="1B2A4A"/>
          <w:sz w:val="16"/>
          <w:szCs w:val="16"/>
        </w:rPr>
        <w:t xml:space="preserve">      "IRDAI's Bima Sugam digital insurance marketplace is creating new direct distribution infrastructure — reducing distribution cost and enabling insurance access for consumers who cannot engage traditional agents.",</w:t>
      </w:r>
    </w:p>
    <w:p>
      <w:pPr>
        <w:shd w:fill="F0F0F0" w:val="clear"/>
        <w:spacing w:after="14" w:before="14"/>
        <w:ind w:left="360"/>
      </w:pPr>
      <w:r>
        <w:rPr>
          <w:rFonts w:ascii="Courier New" w:cs="Courier New" w:eastAsia="Courier New" w:hAnsi="Courier New"/>
          <w:color w:val="1B2A4A"/>
          <w:sz w:val="16"/>
          <w:szCs w:val="16"/>
        </w:rPr>
        <w:t xml:space="preserve">      "Health insurance is India's fastest-growing insurance category — growing at 20% annually as medical inflation, Ayushman Bharat awareness, and COVID legacy drive demand for health coverage.",</w:t>
      </w:r>
    </w:p>
    <w:p>
      <w:pPr>
        <w:shd w:fill="F0F0F0" w:val="clear"/>
        <w:spacing w:after="14" w:before="14"/>
        <w:ind w:left="360"/>
      </w:pPr>
      <w:r>
        <w:rPr>
          <w:rFonts w:ascii="Courier New" w:cs="Courier New" w:eastAsia="Courier New" w:hAnsi="Courier New"/>
          <w:color w:val="1B2A4A"/>
          <w:sz w:val="16"/>
          <w:szCs w:val="16"/>
        </w:rPr>
        <w:t xml:space="preserve">      "Microinsurance and parametric insurance are growing in India's rural economy — crop insurance, weather insurance, and life microinsurance are all scaling through government programme channels."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"IRDAI insurance licensing is a long process — establishing an insurance company in India requires significant capital of $75M+, IRDAI approval, and regulatory compliance investment over multiple years.",</w:t>
      </w:r>
    </w:p>
    <w:p>
      <w:pPr>
        <w:shd w:fill="F0F0F0" w:val="clear"/>
        <w:spacing w:after="14" w:before="14"/>
        <w:ind w:left="360"/>
      </w:pPr>
      <w:r>
        <w:rPr>
          <w:rFonts w:ascii="Courier New" w:cs="Courier New" w:eastAsia="Courier New" w:hAnsi="Courier New"/>
          <w:color w:val="1B2A4A"/>
          <w:sz w:val="16"/>
          <w:szCs w:val="16"/>
        </w:rPr>
        <w:t xml:space="preserve">      "Distribution network development is critical — India's insurance market is still largely distributed through agents and bancassurance partnerships requiring significant channel development investment.",</w:t>
      </w:r>
    </w:p>
    <w:p>
      <w:pPr>
        <w:shd w:fill="F0F0F0" w:val="clear"/>
        <w:spacing w:after="14" w:before="14"/>
        <w:ind w:left="360"/>
      </w:pPr>
      <w:r>
        <w:rPr>
          <w:rFonts w:ascii="Courier New" w:cs="Courier New" w:eastAsia="Courier New" w:hAnsi="Courier New"/>
          <w:color w:val="1B2A4A"/>
          <w:sz w:val="16"/>
          <w:szCs w:val="16"/>
        </w:rPr>
        <w:t xml:space="preserve">      "Indian insurance market is intensely competitive — LIC and 30+ private insurers compete aggressively across life, health, and general insurance with established distribution networks and brand recognition.",</w:t>
      </w:r>
    </w:p>
    <w:p>
      <w:pPr>
        <w:shd w:fill="F0F0F0" w:val="clear"/>
        <w:spacing w:after="14" w:before="14"/>
        <w:ind w:left="360"/>
      </w:pPr>
      <w:r>
        <w:rPr>
          <w:rFonts w:ascii="Courier New" w:cs="Courier New" w:eastAsia="Courier New" w:hAnsi="Courier New"/>
          <w:color w:val="1B2A4A"/>
          <w:sz w:val="16"/>
          <w:szCs w:val="16"/>
        </w:rPr>
        <w:t xml:space="preserve">      "Consumer insurance literacy varies — effective insurance marketing in India requires significant consumer education investment across regional languages and diverse demographic segments."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insurance market demand validation|You need to validate Indian consumer demand for your insurance product including digital versus agent channel preference and willingness to pay.",</w:t>
      </w:r>
    </w:p>
    <w:p>
      <w:pPr>
        <w:shd w:fill="F0F0F0" w:val="clear"/>
        <w:spacing w:after="14" w:before="14"/>
        <w:ind w:left="360"/>
      </w:pPr>
      <w:r>
        <w:rPr>
          <w:rFonts w:ascii="Courier New" w:cs="Courier New" w:eastAsia="Courier New" w:hAnsi="Courier New"/>
          <w:color w:val="1B2A4A"/>
          <w:sz w:val="16"/>
          <w:szCs w:val="16"/>
        </w:rPr>
        <w:t xml:space="preserve">      "IRDAI regulatory pathway|You need to understand IRDAI licensing requirements, FDI rules, and product approval processes for your insurance category.",</w:t>
      </w:r>
    </w:p>
    <w:p>
      <w:pPr>
        <w:shd w:fill="F0F0F0" w:val="clear"/>
        <w:spacing w:after="14" w:before="14"/>
        <w:ind w:left="360"/>
      </w:pPr>
      <w:r>
        <w:rPr>
          <w:rFonts w:ascii="Courier New" w:cs="Courier New" w:eastAsia="Courier New" w:hAnsi="Courier New"/>
          <w:color w:val="1B2A4A"/>
          <w:sz w:val="16"/>
          <w:szCs w:val="16"/>
        </w:rPr>
        <w:t xml:space="preserve">      "India insurance distribution partner identification|You need bancassurance partners, insurance aggregators, and digital platform distribution partners for your product.",</w:t>
      </w:r>
    </w:p>
    <w:p>
      <w:pPr>
        <w:shd w:fill="F0F0F0" w:val="clear"/>
        <w:spacing w:after="14" w:before="14"/>
        <w:ind w:left="360"/>
      </w:pPr>
      <w:r>
        <w:rPr>
          <w:rFonts w:ascii="Courier New" w:cs="Courier New" w:eastAsia="Courier New" w:hAnsi="Courier New"/>
          <w:color w:val="1B2A4A"/>
          <w:sz w:val="16"/>
          <w:szCs w:val="16"/>
        </w:rPr>
        <w:t xml:space="preserve">      "India insurtech GTM strategy|You have an insurance technology product and need a go-to-market strategy covering insurance company and distribution partner acquisition.",</w:t>
      </w:r>
    </w:p>
    <w:p>
      <w:pPr>
        <w:shd w:fill="F0F0F0" w:val="clear"/>
        <w:spacing w:after="14" w:before="14"/>
        <w:ind w:left="360"/>
      </w:pPr>
      <w:r>
        <w:rPr>
          <w:rFonts w:ascii="Courier New" w:cs="Courier New" w:eastAsia="Courier New" w:hAnsi="Courier New"/>
          <w:color w:val="1B2A4A"/>
          <w:sz w:val="16"/>
          <w:szCs w:val="16"/>
        </w:rPr>
        <w:t xml:space="preserve">      "Raising capital for India insurance investment|You need a pitch book grounded in India insurance market data and IRDAI framework analysis.",</w:t>
      </w:r>
    </w:p>
    <w:p>
      <w:pPr>
        <w:shd w:fill="F0F0F0" w:val="clear"/>
        <w:spacing w:after="14" w:before="14"/>
        <w:ind w:left="360"/>
      </w:pPr>
      <w:r>
        <w:rPr>
          <w:rFonts w:ascii="Courier New" w:cs="Courier New" w:eastAsia="Courier New" w:hAnsi="Courier New"/>
          <w:color w:val="1B2A4A"/>
          <w:sz w:val="16"/>
          <w:szCs w:val="16"/>
        </w:rPr>
        <w:t xml:space="preserve">      "Government insurance programme access|You need to understand Pradhan Mantri insurance scheme empanelment and government insurance distribution channels."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consumer insurance demand across life, health, and general insurance categories with primary research across income segments.",</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insurance investment covering IRDAI compliance cost and distribution economics.",</w:t>
      </w:r>
    </w:p>
    <w:p>
      <w:pPr>
        <w:shd w:fill="F0F0F0" w:val="clear"/>
        <w:spacing w:after="14" w:before="14"/>
        <w:ind w:left="360"/>
      </w:pPr>
      <w:r>
        <w:rPr>
          <w:rFonts w:ascii="Courier New" w:cs="Courier New" w:eastAsia="Courier New" w:hAnsi="Courier New"/>
          <w:color w:val="1B2A4A"/>
          <w:sz w:val="16"/>
          <w:szCs w:val="16"/>
        </w:rPr>
        <w:t xml:space="preserve">      "End-to-end India insurance market entry covering IRDAI pathway, distribution partner identification, and first-policyholder milestone.",</w:t>
      </w:r>
    </w:p>
    <w:p>
      <w:pPr>
        <w:shd w:fill="F0F0F0" w:val="clear"/>
        <w:spacing w:after="14" w:before="14"/>
        <w:ind w:left="360"/>
      </w:pPr>
      <w:r>
        <w:rPr>
          <w:rFonts w:ascii="Courier New" w:cs="Courier New" w:eastAsia="Courier New" w:hAnsi="Courier New"/>
          <w:color w:val="1B2A4A"/>
          <w:sz w:val="16"/>
          <w:szCs w:val="16"/>
        </w:rPr>
        <w:t xml:space="preserve">      "Embedded India insurance GTM team covering bancassurance and digital distribution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insurance investment with IRDAI framework and market penetration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Hindi language insurance advisory to automated IRDAI compliance reporting and claims processing."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life insurance companies or also with health insurance and insurtech businesses entering India?|All insurance categories including life, health, general, and insurtech platforms.",</w:t>
      </w:r>
    </w:p>
    <w:p>
      <w:pPr>
        <w:shd w:fill="F0F0F0" w:val="clear"/>
        <w:spacing w:after="14" w:before="14"/>
        <w:ind w:left="360"/>
      </w:pPr>
      <w:r>
        <w:rPr>
          <w:rFonts w:ascii="Courier New" w:cs="Courier New" w:eastAsia="Courier New" w:hAnsi="Courier New"/>
          <w:color w:val="1B2A4A"/>
          <w:sz w:val="16"/>
          <w:szCs w:val="16"/>
        </w:rPr>
        <w:t xml:space="preserve">      "How long does an India insurance market entry engagement take?|Typically 10–14 weeks given IRDAI regulatory complexity and distribution network mapping.",</w:t>
      </w:r>
    </w:p>
    <w:p>
      <w:pPr>
        <w:shd w:fill="F0F0F0" w:val="clear"/>
        <w:spacing w:after="14" w:before="14"/>
        <w:ind w:left="360"/>
      </w:pPr>
      <w:r>
        <w:rPr>
          <w:rFonts w:ascii="Courier New" w:cs="Courier New" w:eastAsia="Courier New" w:hAnsi="Courier New"/>
          <w:color w:val="1B2A4A"/>
          <w:sz w:val="16"/>
          <w:szCs w:val="16"/>
        </w:rPr>
        <w:t xml:space="preserve">      "Can GreyRadius identify bancassurance and digital distribution partners for insurance companies in India?|Yes — distribution partner identification is core to our India insurance market entry service.",</w:t>
      </w:r>
    </w:p>
    <w:p>
      <w:pPr>
        <w:shd w:fill="F0F0F0" w:val="clear"/>
        <w:spacing w:after="14" w:before="14"/>
        <w:ind w:left="360"/>
      </w:pPr>
      <w:r>
        <w:rPr>
          <w:rFonts w:ascii="Courier New" w:cs="Courier New" w:eastAsia="Courier New" w:hAnsi="Courier New"/>
          <w:color w:val="1B2A4A"/>
          <w:sz w:val="16"/>
          <w:szCs w:val="16"/>
        </w:rPr>
        <w:t xml:space="preserve">      "How does IRDAI's 100% FDI liberalisation change India insurance market entry?|It allows fully foreign-owned insurance entities — we assess the right corporate structure as part of every India insurance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insurance market entry, IRDAI regulatory pathway, India health insurance GTM strategy, India insurtech consulting, India life insurance advisory, India insurance distribution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Tier 2 cities",</w:t>
      </w:r>
    </w:p>
    <w:p>
      <w:pPr>
        <w:shd w:fill="F0F0F0" w:val="clear"/>
        <w:spacing w:after="14" w:before="14"/>
        <w:ind w:left="360"/>
      </w:pPr>
      <w:r>
        <w:rPr>
          <w:rFonts w:ascii="Courier New" w:cs="Courier New" w:eastAsia="Courier New" w:hAnsi="Courier New"/>
          <w:color w:val="1B2A4A"/>
          <w:sz w:val="16"/>
          <w:szCs w:val="16"/>
        </w:rPr>
        <w:t xml:space="preserve">    "stat1n": "$250B",</w:t>
      </w:r>
    </w:p>
    <w:p>
      <w:pPr>
        <w:shd w:fill="F0F0F0" w:val="clear"/>
        <w:spacing w:after="14" w:before="14"/>
        <w:ind w:left="360"/>
      </w:pPr>
      <w:r>
        <w:rPr>
          <w:rFonts w:ascii="Courier New" w:cs="Courier New" w:eastAsia="Courier New" w:hAnsi="Courier New"/>
          <w:color w:val="1B2A4A"/>
          <w:sz w:val="16"/>
          <w:szCs w:val="16"/>
        </w:rPr>
        <w:t xml:space="preserve">    "stat1l": "India insurance premium market by 2030",</w:t>
      </w:r>
    </w:p>
    <w:p>
      <w:pPr>
        <w:shd w:fill="F0F0F0" w:val="clear"/>
        <w:spacing w:after="14" w:before="14"/>
        <w:ind w:left="360"/>
      </w:pPr>
      <w:r>
        <w:rPr>
          <w:rFonts w:ascii="Courier New" w:cs="Courier New" w:eastAsia="Courier New" w:hAnsi="Courier New"/>
          <w:color w:val="1B2A4A"/>
          <w:sz w:val="16"/>
          <w:szCs w:val="16"/>
        </w:rPr>
        <w:t xml:space="preserve">    "stat1b": "Growing at 15% annually as digital distribution, rising incomes, and government programmes bring insurance to India's mass market.",</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insurance mandate",</w:t>
      </w:r>
    </w:p>
    <w:p>
      <w:pPr>
        <w:shd w:fill="F0F0F0" w:val="clear"/>
        <w:spacing w:after="14" w:before="14"/>
        <w:ind w:left="360"/>
      </w:pPr>
      <w:r>
        <w:rPr>
          <w:rFonts w:ascii="Courier New" w:cs="Courier New" w:eastAsia="Courier New" w:hAnsi="Courier New"/>
          <w:color w:val="1B2A4A"/>
          <w:sz w:val="16"/>
          <w:szCs w:val="16"/>
        </w:rPr>
        <w:t xml:space="preserve">    "stat2b": "Indian consumers, insurance distributors, and IRDAI regulatory specialists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insurance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IRDAI regulatory mapping and consumer demand research delivers India insurance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"gulf-healthcare-technology",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"healthtech",</w:t>
      </w:r>
    </w:p>
    <w:p>
      <w:pPr>
        <w:shd w:fill="F0F0F0" w:val="clear"/>
        <w:spacing w:after="14" w:before="14"/>
        <w:ind w:left="360"/>
      </w:pPr>
      <w:r>
        <w:rPr>
          <w:rFonts w:ascii="Courier New" w:cs="Courier New" w:eastAsia="Courier New" w:hAnsi="Courier New"/>
          <w:color w:val="1B2A4A"/>
          <w:sz w:val="16"/>
          <w:szCs w:val="16"/>
        </w:rPr>
        <w:t xml:space="preserve">    "title": "Gulf Healthcare Technology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healthcare technology companies enter Gulf markets with market entry strategy, MOH regulatory mapping, hospital GTM, and partner identification across UAE and Saudi Arabia.",</w:t>
      </w:r>
    </w:p>
    <w:p>
      <w:pPr>
        <w:shd w:fill="F0F0F0" w:val="clear"/>
        <w:spacing w:after="14" w:before="14"/>
        <w:ind w:left="360"/>
      </w:pPr>
      <w:r>
        <w:rPr>
          <w:rFonts w:ascii="Courier New" w:cs="Courier New" w:eastAsia="Courier New" w:hAnsi="Courier New"/>
          <w:color w:val="1B2A4A"/>
          <w:sz w:val="16"/>
          <w:szCs w:val="16"/>
        </w:rPr>
        <w:t xml:space="preserve">    "h1": "Gulf healthcare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healthtech product to Gulf hospital deployment — strategy for healthcare technology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 healthcare technology market is one of the world's most commercially attractive — combining Vision 2030 healthcare privatisation creating institutional demand, high per-capita healthcare spending, sophisticated hospital groups actively investing in technology, and governments committed to AI and digital health as healthcare quality improvement levers. International healthcare IT companies, medical device technology businesses, clinical AI providers, and digital health platforms are all evaluating Gulf healthcare technology market entry. GreyRadius helps healthtech companies validate Gulf institutional demand, navigate MOH and DHA regulatory requirements, identify hospital partners, and execute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Vision 2030 healthcare transformation — including privatising 290 government hospitals and expanding private healthcare capacity from 40% to 65% of total — is creating the world's most significant institutional healthcare technology procurement opportunity. UAE's digital health strategy and Abu Dhabi's AI in healthcare investments are creating parallel procurement in the UAE's sophisticated and well-funded health system.",</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healthcare technology market is projected to reach $15B by 2028 — growing at 18% annually as Vision 2030 investment, hospital privatisation, and government digital health strategies all drive procurement.",</w:t>
      </w:r>
    </w:p>
    <w:p>
      <w:pPr>
        <w:shd w:fill="F0F0F0" w:val="clear"/>
        <w:spacing w:after="14" w:before="14"/>
        <w:ind w:left="360"/>
      </w:pPr>
      <w:r>
        <w:rPr>
          <w:rFonts w:ascii="Courier New" w:cs="Courier New" w:eastAsia="Courier New" w:hAnsi="Courier New"/>
          <w:color w:val="1B2A4A"/>
          <w:sz w:val="16"/>
          <w:szCs w:val="16"/>
        </w:rPr>
        <w:t xml:space="preserve">      "Saudi Arabia's hospital privatisation programme requires management systems, patient engagement platforms, and clinical technology upgrades creating significant immediate procurement opportunities.",</w:t>
      </w:r>
    </w:p>
    <w:p>
      <w:pPr>
        <w:shd w:fill="F0F0F0" w:val="clear"/>
        <w:spacing w:after="14" w:before="14"/>
        <w:ind w:left="360"/>
      </w:pPr>
      <w:r>
        <w:rPr>
          <w:rFonts w:ascii="Courier New" w:cs="Courier New" w:eastAsia="Courier New" w:hAnsi="Courier New"/>
          <w:color w:val="1B2A4A"/>
          <w:sz w:val="16"/>
          <w:szCs w:val="16"/>
        </w:rPr>
        <w:t xml:space="preserve">      "UAE's Mohammed Bin Rashid AI District healthcare AI investment is creating institutional demand for clinical AI platforms across Dubai and Abu Dhabi hospital systems.",</w:t>
      </w:r>
    </w:p>
    <w:p>
      <w:pPr>
        <w:shd w:fill="F0F0F0" w:val="clear"/>
        <w:spacing w:after="14" w:before="14"/>
        <w:ind w:left="360"/>
      </w:pPr>
      <w:r>
        <w:rPr>
          <w:rFonts w:ascii="Courier New" w:cs="Courier New" w:eastAsia="Courier New" w:hAnsi="Courier New"/>
          <w:color w:val="1B2A4A"/>
          <w:sz w:val="16"/>
          <w:szCs w:val="16"/>
        </w:rPr>
        <w:t xml:space="preserve">      "Telemedicine adoption accelerated dramatically post-COVID in the Gulf — Saudi Arabia, UAE, and Kuwait all now have established telemedicine regulatory frameworks creating commercial deployment opportunity."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"MOH product registration requirements differ across Gulf markets — Saudi FDA, UAE DHA and MOHAP, and Qatar MoPH all have different medical device and healthtech software classification requirements.",</w:t>
      </w:r>
    </w:p>
    <w:p>
      <w:pPr>
        <w:shd w:fill="F0F0F0" w:val="clear"/>
        <w:spacing w:after="14" w:before="14"/>
        <w:ind w:left="360"/>
      </w:pPr>
      <w:r>
        <w:rPr>
          <w:rFonts w:ascii="Courier New" w:cs="Courier New" w:eastAsia="Courier New" w:hAnsi="Courier New"/>
          <w:color w:val="1B2A4A"/>
          <w:sz w:val="16"/>
          <w:szCs w:val="16"/>
        </w:rPr>
        <w:t xml:space="preserve">      "Hospital procurement is conservative and relationship-driven — Gulf hospital technology decisions involve multiple stakeholders and require sustained clinical champion development over time.",</w:t>
      </w:r>
    </w:p>
    <w:p>
      <w:pPr>
        <w:shd w:fill="F0F0F0" w:val="clear"/>
        <w:spacing w:after="14" w:before="14"/>
        <w:ind w:left="360"/>
      </w:pPr>
      <w:r>
        <w:rPr>
          <w:rFonts w:ascii="Courier New" w:cs="Courier New" w:eastAsia="Courier New" w:hAnsi="Courier New"/>
          <w:color w:val="1B2A4A"/>
          <w:sz w:val="16"/>
          <w:szCs w:val="16"/>
        </w:rPr>
        <w:t xml:space="preserve">      "Arabic language interface requirements are mandatory for most Gulf government healthcare deployments — product localisation investment is required before institutional procurement can proceed.",</w:t>
      </w:r>
    </w:p>
    <w:p>
      <w:pPr>
        <w:shd w:fill="F0F0F0" w:val="clear"/>
        <w:spacing w:after="14" w:before="14"/>
        <w:ind w:left="360"/>
      </w:pPr>
      <w:r>
        <w:rPr>
          <w:rFonts w:ascii="Courier New" w:cs="Courier New" w:eastAsia="Courier New" w:hAnsi="Courier New"/>
          <w:color w:val="1B2A4A"/>
          <w:sz w:val="16"/>
          <w:szCs w:val="16"/>
        </w:rPr>
        <w:t xml:space="preserve">      "Competition from established global health IT vendors — Cerner, Epic, Philips, and Siemens — is intense across hospital information systems and clinical technology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healthtech demand validation|You need to validate Gulf hospital and government demand for your healthcare technology and what MOH compliance requirements apply to your product.",</w:t>
      </w:r>
    </w:p>
    <w:p>
      <w:pPr>
        <w:shd w:fill="F0F0F0" w:val="clear"/>
        <w:spacing w:after="14" w:before="14"/>
        <w:ind w:left="360"/>
      </w:pPr>
      <w:r>
        <w:rPr>
          <w:rFonts w:ascii="Courier New" w:cs="Courier New" w:eastAsia="Courier New" w:hAnsi="Courier New"/>
          <w:color w:val="1B2A4A"/>
          <w:sz w:val="16"/>
          <w:szCs w:val="16"/>
        </w:rPr>
        <w:t xml:space="preserve">      "MOH and DHA regulatory pathway|You need to understand medical device classification, software as medical device rules, and licensing requirements across Gulf markets.",</w:t>
      </w:r>
    </w:p>
    <w:p>
      <w:pPr>
        <w:shd w:fill="F0F0F0" w:val="clear"/>
        <w:spacing w:after="14" w:before="14"/>
        <w:ind w:left="360"/>
      </w:pPr>
      <w:r>
        <w:rPr>
          <w:rFonts w:ascii="Courier New" w:cs="Courier New" w:eastAsia="Courier New" w:hAnsi="Courier New"/>
          <w:color w:val="1B2A4A"/>
          <w:sz w:val="16"/>
          <w:szCs w:val="16"/>
        </w:rPr>
        <w:t xml:space="preserve">      "Gulf hospital partner identification|You need hospital group technology heads, clinical champions, and health system integrators as commercial and validation partners.",</w:t>
      </w:r>
    </w:p>
    <w:p>
      <w:pPr>
        <w:shd w:fill="F0F0F0" w:val="clear"/>
        <w:spacing w:after="14" w:before="14"/>
        <w:ind w:left="360"/>
      </w:pPr>
      <w:r>
        <w:rPr>
          <w:rFonts w:ascii="Courier New" w:cs="Courier New" w:eastAsia="Courier New" w:hAnsi="Courier New"/>
          <w:color w:val="1B2A4A"/>
          <w:sz w:val="16"/>
          <w:szCs w:val="16"/>
        </w:rPr>
        <w:t xml:space="preserve">      "Gulf healthtech GTM strategy|You need a go-to-market plan covering private hospital chains, government health systems, and Vision 2030 privatisation programmes.",</w:t>
      </w:r>
    </w:p>
    <w:p>
      <w:pPr>
        <w:shd w:fill="F0F0F0" w:val="clear"/>
        <w:spacing w:after="14" w:before="14"/>
        <w:ind w:left="360"/>
      </w:pPr>
      <w:r>
        <w:rPr>
          <w:rFonts w:ascii="Courier New" w:cs="Courier New" w:eastAsia="Courier New" w:hAnsi="Courier New"/>
          <w:color w:val="1B2A4A"/>
          <w:sz w:val="16"/>
          <w:szCs w:val="16"/>
        </w:rPr>
        <w:t xml:space="preserve">      "Raising capital for Gulf healthtech investment|You need a pitch book grounded in Gulf healthcare market data and Vision 2030 healthcare investment analysis.",</w:t>
      </w:r>
    </w:p>
    <w:p>
      <w:pPr>
        <w:shd w:fill="F0F0F0" w:val="clear"/>
        <w:spacing w:after="14" w:before="14"/>
        <w:ind w:left="360"/>
      </w:pPr>
      <w:r>
        <w:rPr>
          <w:rFonts w:ascii="Courier New" w:cs="Courier New" w:eastAsia="Courier New" w:hAnsi="Courier New"/>
          <w:color w:val="1B2A4A"/>
          <w:sz w:val="16"/>
          <w:szCs w:val="16"/>
        </w:rPr>
        <w:t xml:space="preserve">      "Arabic localisation and cultural compliance strategy|You need a product localisation roadmap that meets Gulf government healthcare deployment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hospital and government demand for your healthcare technology with primary research and MOH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healthtech investment covering MOH compliance cost and hospital sales economics.",</w:t>
      </w:r>
    </w:p>
    <w:p>
      <w:pPr>
        <w:shd w:fill="F0F0F0" w:val="clear"/>
        <w:spacing w:after="14" w:before="14"/>
        <w:ind w:left="360"/>
      </w:pPr>
      <w:r>
        <w:rPr>
          <w:rFonts w:ascii="Courier New" w:cs="Courier New" w:eastAsia="Courier New" w:hAnsi="Courier New"/>
          <w:color w:val="1B2A4A"/>
          <w:sz w:val="16"/>
          <w:szCs w:val="16"/>
        </w:rPr>
        <w:t xml:space="preserve">      "End-to-end Gulf healthtech market entry including MOH regulatory pathway and hospital partner identification.",</w:t>
      </w:r>
    </w:p>
    <w:p>
      <w:pPr>
        <w:shd w:fill="F0F0F0" w:val="clear"/>
        <w:spacing w:after="14" w:before="14"/>
        <w:ind w:left="360"/>
      </w:pPr>
      <w:r>
        <w:rPr>
          <w:rFonts w:ascii="Courier New" w:cs="Courier New" w:eastAsia="Courier New" w:hAnsi="Courier New"/>
          <w:color w:val="1B2A4A"/>
          <w:sz w:val="16"/>
          <w:szCs w:val="16"/>
        </w:rPr>
        <w:t xml:space="preserve">      "Embedded Gulf healthtech GTM team covering hospital and government procurement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healthtech investment with Vision 2030 hospital privatisation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clinical documentation to AI diagnostics adapted for Gulf disease burden and clinical workflows."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hospital IT companies or also with medical device, AI diagnostics, and telemedicine companies in the Gulf?|All healthcare technology categories across hospital IT, medical devices, clinical AI, and telemedicine.",</w:t>
      </w:r>
    </w:p>
    <w:p>
      <w:pPr>
        <w:shd w:fill="F0F0F0" w:val="clear"/>
        <w:spacing w:after="14" w:before="14"/>
        <w:ind w:left="360"/>
      </w:pPr>
      <w:r>
        <w:rPr>
          <w:rFonts w:ascii="Courier New" w:cs="Courier New" w:eastAsia="Courier New" w:hAnsi="Courier New"/>
          <w:color w:val="1B2A4A"/>
          <w:sz w:val="16"/>
          <w:szCs w:val="16"/>
        </w:rPr>
        <w:t xml:space="preserve">      "Which Gulf healthtech markets does GreyRadius prioritise?|UAE and Saudi Arabia as primary markets, with Qatar and Kuwait as secondary.",</w:t>
      </w:r>
    </w:p>
    <w:p>
      <w:pPr>
        <w:shd w:fill="F0F0F0" w:val="clear"/>
        <w:spacing w:after="14" w:before="14"/>
        <w:ind w:left="360"/>
      </w:pPr>
      <w:r>
        <w:rPr>
          <w:rFonts w:ascii="Courier New" w:cs="Courier New" w:eastAsia="Courier New" w:hAnsi="Courier New"/>
          <w:color w:val="1B2A4A"/>
          <w:sz w:val="16"/>
          <w:szCs w:val="16"/>
        </w:rPr>
        <w:t xml:space="preserve">      "How long does a Gulf healthtech engagement take?|Typically 8–12 weeks for hospital demand research, MOH regulatory mapping, and clinical champion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Gulf hospital group technology buyers?|Yes — hospital group technology buyer identification and initial commercial introductions are core to our Gulf healthtech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healthcare technology market entry, UAE healthtech GTM strategy, Saudi Arabia hospital IT consulting, Gulf digital health advisory, GCC medical technology market entry",</w:t>
      </w:r>
    </w:p>
    <w:p>
      <w:pPr>
        <w:shd w:fill="F0F0F0" w:val="clear"/>
        <w:spacing w:after="14" w:before="14"/>
        <w:ind w:left="360"/>
      </w:pPr>
      <w:r>
        <w:rPr>
          <w:rFonts w:ascii="Courier New" w:cs="Courier New" w:eastAsia="Courier New" w:hAnsi="Courier New"/>
          <w:color w:val="1B2A4A"/>
          <w:sz w:val="16"/>
          <w:szCs w:val="16"/>
        </w:rPr>
        <w:t xml:space="preserve">    "regions": "UAE — Dubai and Abu Dhabi, Saudi Arabia — Riyadh and Jeddah, Qatar, Kuwait",</w:t>
      </w:r>
    </w:p>
    <w:p>
      <w:pPr>
        <w:shd w:fill="F0F0F0" w:val="clear"/>
        <w:spacing w:after="14" w:before="14"/>
        <w:ind w:left="360"/>
      </w:pPr>
      <w:r>
        <w:rPr>
          <w:rFonts w:ascii="Courier New" w:cs="Courier New" w:eastAsia="Courier New" w:hAnsi="Courier New"/>
          <w:color w:val="1B2A4A"/>
          <w:sz w:val="16"/>
          <w:szCs w:val="16"/>
        </w:rPr>
        <w:t xml:space="preserve">    "stat1n": "$15B",</w:t>
      </w:r>
    </w:p>
    <w:p>
      <w:pPr>
        <w:shd w:fill="F0F0F0" w:val="clear"/>
        <w:spacing w:after="14" w:before="14"/>
        <w:ind w:left="360"/>
      </w:pPr>
      <w:r>
        <w:rPr>
          <w:rFonts w:ascii="Courier New" w:cs="Courier New" w:eastAsia="Courier New" w:hAnsi="Courier New"/>
          <w:color w:val="1B2A4A"/>
          <w:sz w:val="16"/>
          <w:szCs w:val="16"/>
        </w:rPr>
        <w:t xml:space="preserve">    "stat1l": "Gulf healthcare technology market by 2028",</w:t>
      </w:r>
    </w:p>
    <w:p>
      <w:pPr>
        <w:shd w:fill="F0F0F0" w:val="clear"/>
        <w:spacing w:after="14" w:before="14"/>
        <w:ind w:left="360"/>
      </w:pPr>
      <w:r>
        <w:rPr>
          <w:rFonts w:ascii="Courier New" w:cs="Courier New" w:eastAsia="Courier New" w:hAnsi="Courier New"/>
          <w:color w:val="1B2A4A"/>
          <w:sz w:val="16"/>
          <w:szCs w:val="16"/>
        </w:rPr>
        <w:t xml:space="preserve">    "stat1b": "Growing at 18% annually as Vision 2030 hospital privatisation and government digital health strategies drive institutional technology procurement.",</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healthtech mandate",</w:t>
      </w:r>
    </w:p>
    <w:p>
      <w:pPr>
        <w:shd w:fill="F0F0F0" w:val="clear"/>
        <w:spacing w:after="14" w:before="14"/>
        <w:ind w:left="360"/>
      </w:pPr>
      <w:r>
        <w:rPr>
          <w:rFonts w:ascii="Courier New" w:cs="Courier New" w:eastAsia="Courier New" w:hAnsi="Courier New"/>
          <w:color w:val="1B2A4A"/>
          <w:sz w:val="16"/>
          <w:szCs w:val="16"/>
        </w:rPr>
        <w:t xml:space="preserve">    "stat2b": "Hospital CIOs, clinical department heads, and MOH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healthcare technology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MOH regulatory mapping and hospital demand research delivers Gulf healthcare technology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"india-agritech-deep-dive",</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"agritech",</w:t>
      </w:r>
    </w:p>
    <w:p>
      <w:pPr>
        <w:shd w:fill="F0F0F0" w:val="clear"/>
        <w:spacing w:after="14" w:before="14"/>
        <w:ind w:left="360"/>
      </w:pPr>
      <w:r>
        <w:rPr>
          <w:rFonts w:ascii="Courier New" w:cs="Courier New" w:eastAsia="Courier New" w:hAnsi="Courier New"/>
          <w:color w:val="1B2A4A"/>
          <w:sz w:val="16"/>
          <w:szCs w:val="16"/>
        </w:rPr>
        <w:t xml:space="preserve">    "title": "India Agritech Deep Dive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agritech companies enter India with deep market entry strategy, PM-KUSUM and Agri Stack access, state government programme mapping, farmer demand validation, and fundraising.",</w:t>
      </w:r>
    </w:p>
    <w:p>
      <w:pPr>
        <w:shd w:fill="F0F0F0" w:val="clear"/>
        <w:spacing w:after="14" w:before="14"/>
        <w:ind w:left="360"/>
      </w:pPr>
      <w:r>
        <w:rPr>
          <w:rFonts w:ascii="Courier New" w:cs="Courier New" w:eastAsia="Courier New" w:hAnsi="Courier New"/>
          <w:color w:val="1B2A4A"/>
          <w:sz w:val="16"/>
          <w:szCs w:val="16"/>
        </w:rPr>
        <w:t xml:space="preserve">    "h1": "India agritech deep-dive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agritech product to Indian farmer deployment at scale — strategy for agritech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agritech market is one of the world's most significant — with 150 million farming households, the world's largest area under cultivation for rice, wheat, and cotton, a government investing $10B annually in agricultural development, and digital infrastructure through PM-KISAN, eNAM, and Agri Stack that is creating the data foundation for precision agriculture. International agritech companies across precision farming, crop monitoring, agricultural inputs marketplaces, farm management software, and agricultural drones are all evaluating India as their primary emerging market agritech opportunity. GreyRadius helps agritech companies validate farmer demand, access government programme channels, identify distribution partners, and raise capital for India operations.",</w:t>
      </w:r>
    </w:p>
    <w:p>
      <w:pPr>
        <w:shd w:fill="F0F0F0" w:val="clear"/>
        <w:spacing w:after="14" w:before="14"/>
        <w:ind w:left="360"/>
      </w:pPr>
      <w:r>
        <w:rPr>
          <w:rFonts w:ascii="Courier New" w:cs="Courier New" w:eastAsia="Courier New" w:hAnsi="Courier New"/>
          <w:color w:val="1B2A4A"/>
          <w:sz w:val="16"/>
          <w:szCs w:val="16"/>
        </w:rPr>
        <w:t xml:space="preserve">    "market_timing": "India's Agri Stack — the national digital agriculture infrastructure including farmer registry, crop registry, and field registry — is creating the data foundation that precision agritech companies have been waiting for. PM-KISAN's 100 million farmer database and eNAM's 1,000+ mandis are all creating digital channels for agritech distribution. The agritech companies establishing India programme access in 2024–2027 will be embedded in the digital agriculture infrastructure for decades.",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agritech market is projected to reach $25B by 2027 — growing at 25% annually as Agri Stack infrastructure, government programme investment, and precision agriculture adoption all accelerate.",</w:t>
      </w:r>
    </w:p>
    <w:p>
      <w:pPr>
        <w:shd w:fill="F0F0F0" w:val="clear"/>
        <w:spacing w:after="14" w:before="14"/>
        <w:ind w:left="360"/>
      </w:pPr>
      <w:r>
        <w:rPr>
          <w:rFonts w:ascii="Courier New" w:cs="Courier New" w:eastAsia="Courier New" w:hAnsi="Courier New"/>
          <w:color w:val="1B2A4A"/>
          <w:sz w:val="16"/>
          <w:szCs w:val="16"/>
        </w:rPr>
        <w:t xml:space="preserve">      "India is the world's second-largest agricultural economy — with 150 million farming households and the world's largest area under crop cultivation creating extraordinary agritech scale potential.",</w:t>
      </w:r>
    </w:p>
    <w:p>
      <w:pPr>
        <w:shd w:fill="F0F0F0" w:val="clear"/>
        <w:spacing w:after="14" w:before="14"/>
        <w:ind w:left="360"/>
      </w:pPr>
      <w:r>
        <w:rPr>
          <w:rFonts w:ascii="Courier New" w:cs="Courier New" w:eastAsia="Courier New" w:hAnsi="Courier New"/>
          <w:color w:val="1B2A4A"/>
          <w:sz w:val="16"/>
          <w:szCs w:val="16"/>
        </w:rPr>
        <w:t xml:space="preserve">      "PM-FASAL Bima insurance programme covers 60 million farmers — creating the world's largest agricultural insurance programme and significant technology procurement for monitoring and claims management.",</w:t>
      </w:r>
    </w:p>
    <w:p>
      <w:pPr>
        <w:shd w:fill="F0F0F0" w:val="clear"/>
        <w:spacing w:after="14" w:before="14"/>
        <w:ind w:left="360"/>
      </w:pPr>
      <w:r>
        <w:rPr>
          <w:rFonts w:ascii="Courier New" w:cs="Courier New" w:eastAsia="Courier New" w:hAnsi="Courier New"/>
          <w:color w:val="1B2A4A"/>
          <w:sz w:val="16"/>
          <w:szCs w:val="16"/>
        </w:rPr>
        <w:t xml:space="preserve">      "eNAM electronic national agriculture market now links 1,000+ mandis — creating digital commodity trading infrastructure that agricultural marketplaces and agri-fintech companies can integrate with."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"India's agricultural market is extraordinarily diverse — 15+ major crops, 600+ agricultural districts, 6 agro-climatic zones, and multiple regional languages all requiring significant localisation investment.",</w:t>
      </w:r>
    </w:p>
    <w:p>
      <w:pPr>
        <w:shd w:fill="F0F0F0" w:val="clear"/>
        <w:spacing w:after="14" w:before="14"/>
        <w:ind w:left="360"/>
      </w:pPr>
      <w:r>
        <w:rPr>
          <w:rFonts w:ascii="Courier New" w:cs="Courier New" w:eastAsia="Courier New" w:hAnsi="Courier New"/>
          <w:color w:val="1B2A4A"/>
          <w:sz w:val="16"/>
          <w:szCs w:val="16"/>
        </w:rPr>
        <w:t xml:space="preserve">      "Farmer willingness to pay for agritech is limited outside premium cash crop farming — smallholder farmers operating on thin margins require either government subsidy or clearly demonstrated ROI before adoption.",</w:t>
      </w:r>
    </w:p>
    <w:p>
      <w:pPr>
        <w:shd w:fill="F0F0F0" w:val="clear"/>
        <w:spacing w:after="14" w:before="14"/>
        <w:ind w:left="360"/>
      </w:pPr>
      <w:r>
        <w:rPr>
          <w:rFonts w:ascii="Courier New" w:cs="Courier New" w:eastAsia="Courier New" w:hAnsi="Courier New"/>
          <w:color w:val="1B2A4A"/>
          <w:sz w:val="16"/>
          <w:szCs w:val="16"/>
        </w:rPr>
        <w:t xml:space="preserve">      "State government agricultural bureaucracy is the critical gatekeeper — state agricultural departments control extension service access, subsidy programme implementation, and FPO coordination in each state.",</w:t>
      </w:r>
    </w:p>
    <w:p>
      <w:pPr>
        <w:shd w:fill="F0F0F0" w:val="clear"/>
        <w:spacing w:after="14" w:before="14"/>
        <w:ind w:left="360"/>
      </w:pPr>
      <w:r>
        <w:rPr>
          <w:rFonts w:ascii="Courier New" w:cs="Courier New" w:eastAsia="Courier New" w:hAnsi="Courier New"/>
          <w:color w:val="1B2A4A"/>
          <w:sz w:val="16"/>
          <w:szCs w:val="16"/>
        </w:rPr>
        <w:t xml:space="preserve">      "Competition from Indian agritech companies — DeHaat, Fasal, Ninjacart, and dozens of funded startups — is intense with deep local knowledge and established farmer relationships across key states."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agritech farmer demand validation|You need to validate farmer demand for your agritech product across specific crops, states, and farmer income segments with primary field research.",</w:t>
      </w:r>
    </w:p>
    <w:p>
      <w:pPr>
        <w:shd w:fill="F0F0F0" w:val="clear"/>
        <w:spacing w:after="14" w:before="14"/>
        <w:ind w:left="360"/>
      </w:pPr>
      <w:r>
        <w:rPr>
          <w:rFonts w:ascii="Courier New" w:cs="Courier New" w:eastAsia="Courier New" w:hAnsi="Courier New"/>
          <w:color w:val="1B2A4A"/>
          <w:sz w:val="16"/>
          <w:szCs w:val="16"/>
        </w:rPr>
        <w:t xml:space="preserve">      "State government programme access|You need to identify state agricultural department programme integration opportunities and Farmer Producer Organisation network access.",</w:t>
      </w:r>
    </w:p>
    <w:p>
      <w:pPr>
        <w:shd w:fill="F0F0F0" w:val="clear"/>
        <w:spacing w:after="14" w:before="14"/>
        <w:ind w:left="360"/>
      </w:pPr>
      <w:r>
        <w:rPr>
          <w:rFonts w:ascii="Courier New" w:cs="Courier New" w:eastAsia="Courier New" w:hAnsi="Courier New"/>
          <w:color w:val="1B2A4A"/>
          <w:sz w:val="16"/>
          <w:szCs w:val="16"/>
        </w:rPr>
        <w:t xml:space="preserve">      "India agritech distribution partner identification|You need FPO partners, agri input dealers, and Krishi Vigyan Kendra network access for farmer distribution.",</w:t>
      </w:r>
    </w:p>
    <w:p>
      <w:pPr>
        <w:shd w:fill="F0F0F0" w:val="clear"/>
        <w:spacing w:after="14" w:before="14"/>
        <w:ind w:left="360"/>
      </w:pPr>
      <w:r>
        <w:rPr>
          <w:rFonts w:ascii="Courier New" w:cs="Courier New" w:eastAsia="Courier New" w:hAnsi="Courier New"/>
          <w:color w:val="1B2A4A"/>
          <w:sz w:val="16"/>
          <w:szCs w:val="16"/>
        </w:rPr>
        <w:t xml:space="preserve">      "India agritech GTM strategy|You need a state-by-state farmer acquisition plan covering government programme integration, FPO partnerships, and direct farmer outreach.",</w:t>
      </w:r>
    </w:p>
    <w:p>
      <w:pPr>
        <w:shd w:fill="F0F0F0" w:val="clear"/>
        <w:spacing w:after="14" w:before="14"/>
        <w:ind w:left="360"/>
      </w:pPr>
      <w:r>
        <w:rPr>
          <w:rFonts w:ascii="Courier New" w:cs="Courier New" w:eastAsia="Courier New" w:hAnsi="Courier New"/>
          <w:color w:val="1B2A4A"/>
          <w:sz w:val="16"/>
          <w:szCs w:val="16"/>
        </w:rPr>
        <w:t xml:space="preserve">      "Raising capital for India agritech|You need a pitch book grounded in India agricultural market data and government programme access narrative for investors.",</w:t>
      </w:r>
    </w:p>
    <w:p>
      <w:pPr>
        <w:shd w:fill="F0F0F0" w:val="clear"/>
        <w:spacing w:after="14" w:before="14"/>
        <w:ind w:left="360"/>
      </w:pPr>
      <w:r>
        <w:rPr>
          <w:rFonts w:ascii="Courier New" w:cs="Courier New" w:eastAsia="Courier New" w:hAnsi="Courier New"/>
          <w:color w:val="1B2A4A"/>
          <w:sz w:val="16"/>
          <w:szCs w:val="16"/>
        </w:rPr>
        <w:t xml:space="preserve">      "Agri Stack integration strategy|You need a technical and commercial strategy for integrating with India's Agri Stack digital infrastructure to access farmer data."</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farmer demand across specific crops and states with primary field research and government programme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agritech investment covering farmer adoption modelling and programme integration economics.",</w:t>
      </w:r>
    </w:p>
    <w:p>
      <w:pPr>
        <w:shd w:fill="F0F0F0" w:val="clear"/>
        <w:spacing w:after="14" w:before="14"/>
        <w:ind w:left="360"/>
      </w:pPr>
      <w:r>
        <w:rPr>
          <w:rFonts w:ascii="Courier New" w:cs="Courier New" w:eastAsia="Courier New" w:hAnsi="Courier New"/>
          <w:color w:val="1B2A4A"/>
          <w:sz w:val="16"/>
          <w:szCs w:val="16"/>
        </w:rPr>
        <w:t xml:space="preserve">      "End-to-end India agritech market entry including state programme access and FPO distribution partner development.",</w:t>
      </w:r>
    </w:p>
    <w:p>
      <w:pPr>
        <w:shd w:fill="F0F0F0" w:val="clear"/>
        <w:spacing w:after="14" w:before="14"/>
        <w:ind w:left="360"/>
      </w:pPr>
      <w:r>
        <w:rPr>
          <w:rFonts w:ascii="Courier New" w:cs="Courier New" w:eastAsia="Courier New" w:hAnsi="Courier New"/>
          <w:color w:val="1B2A4A"/>
          <w:sz w:val="16"/>
          <w:szCs w:val="16"/>
        </w:rPr>
        <w:t xml:space="preserve">      "Embedded India agritech GTM team covering farmer, FPO, and government agricultural department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agritech investment with Agri Stack integration narrative and farmer demand data.",</w:t>
      </w:r>
    </w:p>
    <w:p>
      <w:pPr>
        <w:shd w:fill="F0F0F0" w:val="clear"/>
        <w:spacing w:after="14" w:before="14"/>
        <w:ind w:left="360"/>
      </w:pPr>
      <w:r>
        <w:rPr>
          <w:rFonts w:ascii="Courier New" w:cs="Courier New" w:eastAsia="Courier New" w:hAnsi="Courier New"/>
          <w:color w:val="1B2A4A"/>
          <w:sz w:val="16"/>
          <w:szCs w:val="16"/>
        </w:rPr>
        <w:t xml:space="preserve">      "AI use-case identification — from satellite-based crop monitoring for Indian crop types to Hindi and regional language AI farm advisory tools."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precision farming companies or also with agricultural inputs, agri-fintech, and drone companies entering India?|All agritech categories across precision farming, inputs, fintech, drones, and farm management software.",</w:t>
      </w:r>
    </w:p>
    <w:p>
      <w:pPr>
        <w:shd w:fill="F0F0F0" w:val="clear"/>
        <w:spacing w:after="14" w:before="14"/>
        <w:ind w:left="360"/>
      </w:pPr>
      <w:r>
        <w:rPr>
          <w:rFonts w:ascii="Courier New" w:cs="Courier New" w:eastAsia="Courier New" w:hAnsi="Courier New"/>
          <w:color w:val="1B2A4A"/>
          <w:sz w:val="16"/>
          <w:szCs w:val="16"/>
        </w:rPr>
        <w:t xml:space="preserve">      "How long does an India agritech deep-dive engagement take?|Typically 10–14 weeks given the complexity of farmer demand research and state programme mapping.",</w:t>
      </w:r>
    </w:p>
    <w:p>
      <w:pPr>
        <w:shd w:fill="F0F0F0" w:val="clear"/>
        <w:spacing w:after="14" w:before="14"/>
        <w:ind w:left="360"/>
      </w:pPr>
      <w:r>
        <w:rPr>
          <w:rFonts w:ascii="Courier New" w:cs="Courier New" w:eastAsia="Courier New" w:hAnsi="Courier New"/>
          <w:color w:val="1B2A4A"/>
          <w:sz w:val="16"/>
          <w:szCs w:val="16"/>
        </w:rPr>
        <w:t xml:space="preserve">      "Can GreyRadius identify state agricultural department contacts and FPO networks?|Yes — state agricultural department mapping and FPO network identification are core to our India agritech service.",</w:t>
      </w:r>
    </w:p>
    <w:p>
      <w:pPr>
        <w:shd w:fill="F0F0F0" w:val="clear"/>
        <w:spacing w:after="14" w:before="14"/>
        <w:ind w:left="360"/>
      </w:pPr>
      <w:r>
        <w:rPr>
          <w:rFonts w:ascii="Courier New" w:cs="Courier New" w:eastAsia="Courier New" w:hAnsi="Courier New"/>
          <w:color w:val="1B2A4A"/>
          <w:sz w:val="16"/>
          <w:szCs w:val="16"/>
        </w:rPr>
        <w:t xml:space="preserve">      "How does India's Agri Stack change agritech market entry strategy?|Agri Stack creates a digital farmer identity and crop data foundation that enables precision targeting — we develop the Agri Stack integration strategy as part of every India agritech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agritech market entry, India precision farming GTM strategy, India agricultural technology consulting, Agri Stack integration advisory, India agritech deep dive strategy",</w:t>
      </w:r>
    </w:p>
    <w:p>
      <w:pPr>
        <w:shd w:fill="F0F0F0" w:val="clear"/>
        <w:spacing w:after="14" w:before="14"/>
        <w:ind w:left="360"/>
      </w:pPr>
      <w:r>
        <w:rPr>
          <w:rFonts w:ascii="Courier New" w:cs="Courier New" w:eastAsia="Courier New" w:hAnsi="Courier New"/>
          <w:color w:val="1B2A4A"/>
          <w:sz w:val="16"/>
          <w:szCs w:val="16"/>
        </w:rPr>
        <w:t xml:space="preserve">    "regions": "India — Punjab, Haryana, Rajasthan, Maharashtra, Andhra Pradesh, Karnataka, Tamil Nadu, Uttar Pradesh",</w:t>
      </w:r>
    </w:p>
    <w:p>
      <w:pPr>
        <w:shd w:fill="F0F0F0" w:val="clear"/>
        <w:spacing w:after="14" w:before="14"/>
        <w:ind w:left="360"/>
      </w:pPr>
      <w:r>
        <w:rPr>
          <w:rFonts w:ascii="Courier New" w:cs="Courier New" w:eastAsia="Courier New" w:hAnsi="Courier New"/>
          <w:color w:val="1B2A4A"/>
          <w:sz w:val="16"/>
          <w:szCs w:val="16"/>
        </w:rPr>
        <w:t xml:space="preserve">    "stat1n": "$25B",</w:t>
      </w:r>
    </w:p>
    <w:p>
      <w:pPr>
        <w:shd w:fill="F0F0F0" w:val="clear"/>
        <w:spacing w:after="14" w:before="14"/>
        <w:ind w:left="360"/>
      </w:pPr>
      <w:r>
        <w:rPr>
          <w:rFonts w:ascii="Courier New" w:cs="Courier New" w:eastAsia="Courier New" w:hAnsi="Courier New"/>
          <w:color w:val="1B2A4A"/>
          <w:sz w:val="16"/>
          <w:szCs w:val="16"/>
        </w:rPr>
        <w:t xml:space="preserve">    "stat1l": "India agritech market by 2027",</w:t>
      </w:r>
    </w:p>
    <w:p>
      <w:pPr>
        <w:shd w:fill="F0F0F0" w:val="clear"/>
        <w:spacing w:after="14" w:before="14"/>
        <w:ind w:left="360"/>
      </w:pPr>
      <w:r>
        <w:rPr>
          <w:rFonts w:ascii="Courier New" w:cs="Courier New" w:eastAsia="Courier New" w:hAnsi="Courier New"/>
          <w:color w:val="1B2A4A"/>
          <w:sz w:val="16"/>
          <w:szCs w:val="16"/>
        </w:rPr>
        <w:t xml:space="preserve">    "stat1b": "Growing at 25% annually as Agri Stack infrastructure, government programme investment, and precision agriculture adoption all accelerate.",</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agritech mandate",</w:t>
      </w:r>
    </w:p>
    <w:p>
      <w:pPr>
        <w:shd w:fill="F0F0F0" w:val="clear"/>
        <w:spacing w:after="14" w:before="14"/>
        <w:ind w:left="360"/>
      </w:pPr>
      <w:r>
        <w:rPr>
          <w:rFonts w:ascii="Courier New" w:cs="Courier New" w:eastAsia="Courier New" w:hAnsi="Courier New"/>
          <w:color w:val="1B2A4A"/>
          <w:sz w:val="16"/>
          <w:szCs w:val="16"/>
        </w:rPr>
        <w:t xml:space="preserve">    "stat2b": "Indian farmers, FPO managers, and state agricultural officials — every engagement grounded in direct field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agritech deep-dive strategy",</w:t>
      </w:r>
    </w:p>
    <w:p>
      <w:pPr>
        <w:shd w:fill="F0F0F0" w:val="clear"/>
        <w:spacing w:after="14" w:before="14"/>
        <w:ind w:left="360"/>
      </w:pPr>
      <w:r>
        <w:rPr>
          <w:rFonts w:ascii="Courier New" w:cs="Courier New" w:eastAsia="Courier New" w:hAnsi="Courier New"/>
          <w:color w:val="1B2A4A"/>
          <w:sz w:val="16"/>
          <w:szCs w:val="16"/>
        </w:rPr>
        <w:t xml:space="preserve">    "stat3b": "AI-augmented state programme mapping and farmer demand research delivers India agritech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"india-manufacturing-technology",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"manufacturing-industrials",</w:t>
      </w:r>
    </w:p>
    <w:p>
      <w:pPr>
        <w:shd w:fill="F0F0F0" w:val="clear"/>
        <w:spacing w:after="14" w:before="14"/>
        <w:ind w:left="360"/>
      </w:pPr>
      <w:r>
        <w:rPr>
          <w:rFonts w:ascii="Courier New" w:cs="Courier New" w:eastAsia="Courier New" w:hAnsi="Courier New"/>
          <w:color w:val="1B2A4A"/>
          <w:sz w:val="16"/>
          <w:szCs w:val="16"/>
        </w:rPr>
        <w:t xml:space="preserve">    "title": "India Manufacturing Technology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manufacturing technology companies enter India with market entry strategy, PLI sector mapping, enterprise buyer research, and channel partner identification.",</w:t>
      </w:r>
    </w:p>
    <w:p>
      <w:pPr>
        <w:shd w:fill="F0F0F0" w:val="clear"/>
        <w:spacing w:after="14" w:before="14"/>
        <w:ind w:left="360"/>
      </w:pPr>
      <w:r>
        <w:rPr>
          <w:rFonts w:ascii="Courier New" w:cs="Courier New" w:eastAsia="Courier New" w:hAnsi="Courier New"/>
          <w:color w:val="1B2A4A"/>
          <w:sz w:val="16"/>
          <w:szCs w:val="16"/>
        </w:rPr>
        <w:t xml:space="preserve">    "h1": "India manufacturing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manufacturing technology to Indian factory deployment — strategy for industrial 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manufacturing technology market is growing at extraordinary speed — driven by the PLI scheme attracting $35B+ in manufacturing investment creating greenfield factory demand, existing manufacturer digitalisation investment, and the government's push to make India a global manufacturing hub. International manufacturing execution system companies, industrial IoT providers, robotics businesses, quality management software providers, and manufacturing AI companies are all evaluating India as a high-growth industrial technology market. GreyRadius helps manufacturing technology companies validate Indian enterprise demand, navigate industrial buyer procurement, identify channel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"India's manufacturing investment cycle is creating once-in-a-generation demand for manufacturing technology — Apple's Foxconn and Pegatron factories, Samsung's Noida expansion, and dozens of PLI-incentivised manufacturers are all building new facilities with state-of-the-art technology requirements. The manufacturing technology companies establishing Indian industrial relationships in 2024–2027 will be embedded in facilities that will operate for decades.",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manufacturing technology market is projected to reach $30B by 2027 — growing at 20% annually as PLI manufacturing investment, factory digitalisation, and Industry 4.0 adoption all drive demand.",</w:t>
      </w:r>
    </w:p>
    <w:p>
      <w:pPr>
        <w:shd w:fill="F0F0F0" w:val="clear"/>
        <w:spacing w:after="14" w:before="14"/>
        <w:ind w:left="360"/>
      </w:pPr>
      <w:r>
        <w:rPr>
          <w:rFonts w:ascii="Courier New" w:cs="Courier New" w:eastAsia="Courier New" w:hAnsi="Courier New"/>
          <w:color w:val="1B2A4A"/>
          <w:sz w:val="16"/>
          <w:szCs w:val="16"/>
        </w:rPr>
        <w:t xml:space="preserve">      "Electronics manufacturing is India's fastest-growing sector — $100B electronics production target by 2026 creating significant MES, quality, and supply chain technology demand across the Apple and Samsung supplier ecosystem.",</w:t>
      </w:r>
    </w:p>
    <w:p>
      <w:pPr>
        <w:shd w:fill="F0F0F0" w:val="clear"/>
        <w:spacing w:after="14" w:before="14"/>
        <w:ind w:left="360"/>
      </w:pPr>
      <w:r>
        <w:rPr>
          <w:rFonts w:ascii="Courier New" w:cs="Courier New" w:eastAsia="Courier New" w:hAnsi="Courier New"/>
          <w:color w:val="1B2A4A"/>
          <w:sz w:val="16"/>
          <w:szCs w:val="16"/>
        </w:rPr>
        <w:t xml:space="preserve">      "Pharmaceutical manufacturing is a major India technology opportunity — India produces 20% of global generic medicine supply and Good Manufacturing Practice compliance technology is in significant and growing demand.",</w:t>
      </w:r>
    </w:p>
    <w:p>
      <w:pPr>
        <w:shd w:fill="F0F0F0" w:val="clear"/>
        <w:spacing w:after="14" w:before="14"/>
        <w:ind w:left="360"/>
      </w:pPr>
      <w:r>
        <w:rPr>
          <w:rFonts w:ascii="Courier New" w:cs="Courier New" w:eastAsia="Courier New" w:hAnsi="Courier New"/>
          <w:color w:val="1B2A4A"/>
          <w:sz w:val="16"/>
          <w:szCs w:val="16"/>
        </w:rPr>
        <w:t xml:space="preserve">      "Indian manufacturers are leapfrogging legacy technology — new PLI-incentivised factory investments are going directly to cloud-based MES, IIoT, and AI-powered quality systems rather than on-premise legacy platforms."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"Industrial technology procurement in India is relationship-driven — manufacturing directors and plant managers rely on trusted engineering and technology partners for industrial technology decisions.",</w:t>
      </w:r>
    </w:p>
    <w:p>
      <w:pPr>
        <w:shd w:fill="F0F0F0" w:val="clear"/>
        <w:spacing w:after="14" w:before="14"/>
        <w:ind w:left="360"/>
      </w:pPr>
      <w:r>
        <w:rPr>
          <w:rFonts w:ascii="Courier New" w:cs="Courier New" w:eastAsia="Courier New" w:hAnsi="Courier New"/>
          <w:color w:val="1B2A4A"/>
          <w:sz w:val="16"/>
          <w:szCs w:val="16"/>
        </w:rPr>
        <w:t xml:space="preserve">      "India's manufacturing sector is price-sensitive — international manufacturing technology pricing needs India-specific adaptation to compete effectively with domestic and Chinese technology alternatives.",</w:t>
      </w:r>
    </w:p>
    <w:p>
      <w:pPr>
        <w:shd w:fill="F0F0F0" w:val="clear"/>
        <w:spacing w:after="14" w:before="14"/>
        <w:ind w:left="360"/>
      </w:pPr>
      <w:r>
        <w:rPr>
          <w:rFonts w:ascii="Courier New" w:cs="Courier New" w:eastAsia="Courier New" w:hAnsi="Courier New"/>
          <w:color w:val="1B2A4A"/>
          <w:sz w:val="16"/>
          <w:szCs w:val="16"/>
        </w:rPr>
        <w:t xml:space="preserve">      "OT-IT integration complexity is significant — manufacturing technology must integrate with existing PLC, SCADA, and ERP systems that vary by plant and manufacturer.",</w:t>
      </w:r>
    </w:p>
    <w:p>
      <w:pPr>
        <w:shd w:fill="F0F0F0" w:val="clear"/>
        <w:spacing w:after="14" w:before="14"/>
        <w:ind w:left="360"/>
      </w:pPr>
      <w:r>
        <w:rPr>
          <w:rFonts w:ascii="Courier New" w:cs="Courier New" w:eastAsia="Courier New" w:hAnsi="Courier New"/>
          <w:color w:val="1B2A4A"/>
          <w:sz w:val="16"/>
          <w:szCs w:val="16"/>
        </w:rPr>
        <w:t xml:space="preserve">      "Customer success for manufacturing technology requires on-site implementation support — Indian manufacturers expect significant on-site engineering support during deployment and initial operations."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manufacturing technology demand validation|You need to validate which Indian manufacturing segments are actively investing in your technology and what their integration and price requirements are.",</w:t>
      </w:r>
    </w:p>
    <w:p>
      <w:pPr>
        <w:shd w:fill="F0F0F0" w:val="clear"/>
        <w:spacing w:after="14" w:before="14"/>
        <w:ind w:left="360"/>
      </w:pPr>
      <w:r>
        <w:rPr>
          <w:rFonts w:ascii="Courier New" w:cs="Courier New" w:eastAsia="Courier New" w:hAnsi="Courier New"/>
          <w:color w:val="1B2A4A"/>
          <w:sz w:val="16"/>
          <w:szCs w:val="16"/>
        </w:rPr>
        <w:t xml:space="preserve">      "India manufacturing technology GTM strategy|You need a go-to-market plan covering PLI-incentivised manufacturers, existing industrial enterprises, and OEM integration channels.",</w:t>
      </w:r>
    </w:p>
    <w:p>
      <w:pPr>
        <w:shd w:fill="F0F0F0" w:val="clear"/>
        <w:spacing w:after="14" w:before="14"/>
        <w:ind w:left="360"/>
      </w:pPr>
      <w:r>
        <w:rPr>
          <w:rFonts w:ascii="Courier New" w:cs="Courier New" w:eastAsia="Courier New" w:hAnsi="Courier New"/>
          <w:color w:val="1B2A4A"/>
          <w:sz w:val="16"/>
          <w:szCs w:val="16"/>
        </w:rPr>
        <w:t xml:space="preserve">      "India manufacturing technology channel partner identification|You need automation companies, system integrators, and industrial distributors as channel partners for India manufacturing.",</w:t>
      </w:r>
    </w:p>
    <w:p>
      <w:pPr>
        <w:shd w:fill="F0F0F0" w:val="clear"/>
        <w:spacing w:after="14" w:before="14"/>
        <w:ind w:left="360"/>
      </w:pPr>
      <w:r>
        <w:rPr>
          <w:rFonts w:ascii="Courier New" w:cs="Courier New" w:eastAsia="Courier New" w:hAnsi="Courier New"/>
          <w:color w:val="1B2A4A"/>
          <w:sz w:val="16"/>
          <w:szCs w:val="16"/>
        </w:rPr>
        <w:t xml:space="preserve">      "Raising capital for India manufacturing technology|You need a pitch book grounded in India manufacturing investment data and PLI sector demand analysis.",</w:t>
      </w:r>
    </w:p>
    <w:p>
      <w:pPr>
        <w:shd w:fill="F0F0F0" w:val="clear"/>
        <w:spacing w:after="14" w:before="14"/>
        <w:ind w:left="360"/>
      </w:pPr>
      <w:r>
        <w:rPr>
          <w:rFonts w:ascii="Courier New" w:cs="Courier New" w:eastAsia="Courier New" w:hAnsi="Courier New"/>
          <w:color w:val="1B2A4A"/>
          <w:sz w:val="16"/>
          <w:szCs w:val="16"/>
        </w:rPr>
        <w:t xml:space="preserve">      "PLI sector opportunity mapping|You need to understand which PLI sectors create the most relevant technology procurement for your specific product.",</w:t>
      </w:r>
    </w:p>
    <w:p>
      <w:pPr>
        <w:shd w:fill="F0F0F0" w:val="clear"/>
        <w:spacing w:after="14" w:before="14"/>
        <w:ind w:left="360"/>
      </w:pPr>
      <w:r>
        <w:rPr>
          <w:rFonts w:ascii="Courier New" w:cs="Courier New" w:eastAsia="Courier New" w:hAnsi="Courier New"/>
          <w:color w:val="1B2A4A"/>
          <w:sz w:val="16"/>
          <w:szCs w:val="16"/>
        </w:rPr>
        <w:t xml:space="preserve">      "OEM and systems integrator partnership strategy|You need industrial automation companies and MES implementation partners as channel partners."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manufacturing enterprise demand with primary research across PLI sectors and existing industrial enterprises.",</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manufacturing technology investment covering India pricing model and channel economics.",</w:t>
      </w:r>
    </w:p>
    <w:p>
      <w:pPr>
        <w:shd w:fill="F0F0F0" w:val="clear"/>
        <w:spacing w:after="14" w:before="14"/>
        <w:ind w:left="360"/>
      </w:pPr>
      <w:r>
        <w:rPr>
          <w:rFonts w:ascii="Courier New" w:cs="Courier New" w:eastAsia="Courier New" w:hAnsi="Courier New"/>
          <w:color w:val="1B2A4A"/>
          <w:sz w:val="16"/>
          <w:szCs w:val="16"/>
        </w:rPr>
        <w:t xml:space="preserve">      "End-to-end India manufacturing technology market entry including OT integrator channel partner identification.",</w:t>
      </w:r>
    </w:p>
    <w:p>
      <w:pPr>
        <w:shd w:fill="F0F0F0" w:val="clear"/>
        <w:spacing w:after="14" w:before="14"/>
        <w:ind w:left="360"/>
      </w:pPr>
      <w:r>
        <w:rPr>
          <w:rFonts w:ascii="Courier New" w:cs="Courier New" w:eastAsia="Courier New" w:hAnsi="Courier New"/>
          <w:color w:val="1B2A4A"/>
          <w:sz w:val="16"/>
          <w:szCs w:val="16"/>
        </w:rPr>
        <w:t xml:space="preserve">      "Embedded India manufacturing technology GTM team covering enterprise and SI outreach across priority sectors.",</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manufacturing technology with PLI investment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quality vision inspection in Indian manufacturing to predictive maintenance for PLI-incentivised factories."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MES companies or also with IIoT, robotics, and quality management technology companies entering India?|All manufacturing technology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manufacturing technology engagement take?|Typically 8–10 weeks for enterprise demand research, PLI sector mapping, and channel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industrial automation and SI channel partners in India?|Yes — OT integrator and industrial SI partner identification are core to our India manufacturing technology service.",</w:t>
      </w:r>
    </w:p>
    <w:p>
      <w:pPr>
        <w:shd w:fill="F0F0F0" w:val="clear"/>
        <w:spacing w:after="14" w:before="14"/>
        <w:ind w:left="360"/>
      </w:pPr>
      <w:r>
        <w:rPr>
          <w:rFonts w:ascii="Courier New" w:cs="Courier New" w:eastAsia="Courier New" w:hAnsi="Courier New"/>
          <w:color w:val="1B2A4A"/>
          <w:sz w:val="16"/>
          <w:szCs w:val="16"/>
        </w:rPr>
        <w:t xml:space="preserve">      "How does India's PLI scheme create manufacturing technology demand?|PLI-incentivised new factories are greenfield investments requiring state-of-the-art technology — we map PLI sector demand as part of every India manufacturing technology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manufacturing technology market entry, India MES GTM strategy, India industrial IoT consulting, India Industry 4.0 advisory, India manufacturing tech market entry",</w:t>
      </w:r>
    </w:p>
    <w:p>
      <w:pPr>
        <w:shd w:fill="F0F0F0" w:val="clear"/>
        <w:spacing w:after="14" w:before="14"/>
        <w:ind w:left="360"/>
      </w:pPr>
      <w:r>
        <w:rPr>
          <w:rFonts w:ascii="Courier New" w:cs="Courier New" w:eastAsia="Courier New" w:hAnsi="Courier New"/>
          <w:color w:val="1B2A4A"/>
          <w:sz w:val="16"/>
          <w:szCs w:val="16"/>
        </w:rPr>
        <w:t xml:space="preserve">    "regions": "India — Pune, Chennai, Bengaluru, Hyderabad, Noida, Ahmedabad, Surat, Sanand",</w:t>
      </w:r>
    </w:p>
    <w:p>
      <w:pPr>
        <w:shd w:fill="F0F0F0" w:val="clear"/>
        <w:spacing w:after="14" w:before="14"/>
        <w:ind w:left="360"/>
      </w:pPr>
      <w:r>
        <w:rPr>
          <w:rFonts w:ascii="Courier New" w:cs="Courier New" w:eastAsia="Courier New" w:hAnsi="Courier New"/>
          <w:color w:val="1B2A4A"/>
          <w:sz w:val="16"/>
          <w:szCs w:val="16"/>
        </w:rPr>
        <w:t xml:space="preserve">    "stat1n": "$30B",</w:t>
      </w:r>
    </w:p>
    <w:p>
      <w:pPr>
        <w:shd w:fill="F0F0F0" w:val="clear"/>
        <w:spacing w:after="14" w:before="14"/>
        <w:ind w:left="360"/>
      </w:pPr>
      <w:r>
        <w:rPr>
          <w:rFonts w:ascii="Courier New" w:cs="Courier New" w:eastAsia="Courier New" w:hAnsi="Courier New"/>
          <w:color w:val="1B2A4A"/>
          <w:sz w:val="16"/>
          <w:szCs w:val="16"/>
        </w:rPr>
        <w:t xml:space="preserve">    "stat1l": "India manufacturing technology market by 2027",</w:t>
      </w:r>
    </w:p>
    <w:p>
      <w:pPr>
        <w:shd w:fill="F0F0F0" w:val="clear"/>
        <w:spacing w:after="14" w:before="14"/>
        <w:ind w:left="360"/>
      </w:pPr>
      <w:r>
        <w:rPr>
          <w:rFonts w:ascii="Courier New" w:cs="Courier New" w:eastAsia="Courier New" w:hAnsi="Courier New"/>
          <w:color w:val="1B2A4A"/>
          <w:sz w:val="16"/>
          <w:szCs w:val="16"/>
        </w:rPr>
        <w:t xml:space="preserve">    "stat1b": "Growing at 20% annually as PLI manufacturing investment and factory digitalisation create sustained industrial technology demand.",</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manufacturing technology mandate",</w:t>
      </w:r>
    </w:p>
    <w:p>
      <w:pPr>
        <w:shd w:fill="F0F0F0" w:val="clear"/>
        <w:spacing w:after="14" w:before="14"/>
        <w:ind w:left="360"/>
      </w:pPr>
      <w:r>
        <w:rPr>
          <w:rFonts w:ascii="Courier New" w:cs="Courier New" w:eastAsia="Courier New" w:hAnsi="Courier New"/>
          <w:color w:val="1B2A4A"/>
          <w:sz w:val="16"/>
          <w:szCs w:val="16"/>
        </w:rPr>
        <w:t xml:space="preserve">    "stat2b": "Manufacturing directors, plant managers, and industrial channel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manufacturing technology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PLI sector mapping and manufacturer demand research delivers India manufacturing technology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"southeast-asia-retail-market-entry",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"cpg-fmcg-retail",</w:t>
      </w:r>
    </w:p>
    <w:p>
      <w:pPr>
        <w:shd w:fill="F0F0F0" w:val="clear"/>
        <w:spacing w:after="14" w:before="14"/>
        <w:ind w:left="360"/>
      </w:pPr>
      <w:r>
        <w:rPr>
          <w:rFonts w:ascii="Courier New" w:cs="Courier New" w:eastAsia="Courier New" w:hAnsi="Courier New"/>
          <w:color w:val="1B2A4A"/>
          <w:sz w:val="16"/>
          <w:szCs w:val="16"/>
        </w:rPr>
        <w:t xml:space="preserve">    "title": "Southeast Asia Retail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retail brands and retail technology companies enter Southeast Asia with market entry strategy, consumer research, platform identification, and distributor identification.",</w:t>
      </w:r>
    </w:p>
    <w:p>
      <w:pPr>
        <w:shd w:fill="F0F0F0" w:val="clear"/>
        <w:spacing w:after="14" w:before="14"/>
        <w:ind w:left="360"/>
      </w:pPr>
      <w:r>
        <w:rPr>
          <w:rFonts w:ascii="Courier New" w:cs="Courier New" w:eastAsia="Courier New" w:hAnsi="Courier New"/>
          <w:color w:val="1B2A4A"/>
          <w:sz w:val="16"/>
          <w:szCs w:val="16"/>
        </w:rPr>
        <w:t xml:space="preserve">    "h1": "Southeast Asia retail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retail brand to ASEAN consumer — strategy for retail companies entering Southeast Asia.",</w:t>
      </w:r>
    </w:p>
    <w:p>
      <w:pPr>
        <w:shd w:fill="F0F0F0" w:val="clear"/>
        <w:spacing w:after="14" w:before="14"/>
        <w:ind w:left="360"/>
      </w:pPr>
      <w:r>
        <w:rPr>
          <w:rFonts w:ascii="Courier New" w:cs="Courier New" w:eastAsia="Courier New" w:hAnsi="Courier New"/>
          <w:color w:val="1B2A4A"/>
          <w:sz w:val="16"/>
          <w:szCs w:val="16"/>
        </w:rPr>
        <w:t xml:space="preserve">    "hero": "Southeast Asia's retail market is transforming at extraordinary speed — with e-commerce growing at 25% annually, social commerce through TikTok Shop and Instagram achieving mass adoption, modern trade expansion accelerating across Indonesia, Vietnam, and Philippines, and a consumer base of 680 million people increasingly accessible through digital retail channels. International fashion brands, beauty companies, consumer electronics retailers, food brands, and retail technology businesses are all evaluating Southeast Asia retail market entry. GreyRadius helps retail companies validate Southeast Asian consumer demand, identify the right distribution channels, and execute market entry across priority ASEAN markets.",</w:t>
      </w:r>
    </w:p>
    <w:p>
      <w:pPr>
        <w:shd w:fill="F0F0F0" w:val="clear"/>
        <w:spacing w:after="14" w:before="14"/>
        <w:ind w:left="360"/>
      </w:pPr>
      <w:r>
        <w:rPr>
          <w:rFonts w:ascii="Courier New" w:cs="Courier New" w:eastAsia="Courier New" w:hAnsi="Courier New"/>
          <w:color w:val="1B2A4A"/>
          <w:sz w:val="16"/>
          <w:szCs w:val="16"/>
        </w:rPr>
        <w:t xml:space="preserve">    "market_timing": "TikTok Shop's Southeast Asia expansion has created an entirely new retail channel — allowing international brands to sell directly to Southeast Asian consumers through short-video commerce without building traditional distribution infrastructure. Combined with Shopee's 300 million user base and Lazada's regional presence, international brands now have accessible digital retail channels that did not exist five years ago.",</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Asia's retail market is projected to reach $700B by 2028 — growing at 8% annually with e-commerce growing at 25% within that total across the region's key markets.",</w:t>
      </w:r>
    </w:p>
    <w:p>
      <w:pPr>
        <w:shd w:fill="F0F0F0" w:val="clear"/>
        <w:spacing w:after="14" w:before="14"/>
        <w:ind w:left="360"/>
      </w:pPr>
      <w:r>
        <w:rPr>
          <w:rFonts w:ascii="Courier New" w:cs="Courier New" w:eastAsia="Courier New" w:hAnsi="Courier New"/>
          <w:color w:val="1B2A4A"/>
          <w:sz w:val="16"/>
          <w:szCs w:val="16"/>
        </w:rPr>
        <w:t xml:space="preserve">      "TikTok Shop has achieved 30M+ monthly active buyers in Southeast Asia — making it the fastest-growing retail channel the region has ever seen and a priority channel for international brand entry.",</w:t>
      </w:r>
    </w:p>
    <w:p>
      <w:pPr>
        <w:shd w:fill="F0F0F0" w:val="clear"/>
        <w:spacing w:after="14" w:before="14"/>
        <w:ind w:left="360"/>
      </w:pPr>
      <w:r>
        <w:rPr>
          <w:rFonts w:ascii="Courier New" w:cs="Courier New" w:eastAsia="Courier New" w:hAnsi="Courier New"/>
          <w:color w:val="1B2A4A"/>
          <w:sz w:val="16"/>
          <w:szCs w:val="16"/>
        </w:rPr>
        <w:t xml:space="preserve">      "Vietnam's retail market is growing at 15% annually — a rapidly expanding middle class and strong consumer brand aspiration are driving modern trade and e-commerce growth simultaneously.",</w:t>
      </w:r>
    </w:p>
    <w:p>
      <w:pPr>
        <w:shd w:fill="F0F0F0" w:val="clear"/>
        <w:spacing w:after="14" w:before="14"/>
        <w:ind w:left="360"/>
      </w:pPr>
      <w:r>
        <w:rPr>
          <w:rFonts w:ascii="Courier New" w:cs="Courier New" w:eastAsia="Courier New" w:hAnsi="Courier New"/>
          <w:color w:val="1B2A4A"/>
          <w:sz w:val="16"/>
          <w:szCs w:val="16"/>
        </w:rPr>
        <w:t xml:space="preserve">      "Indonesia's retail market exceeded $300B in 2023 — the region's largest economy and most active e-commerce market with the most diverse consumer base across 270 million people."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"ASEAN retail diversity requires market-by-market strategies — retail channels, consumer preferences, and competitive dynamics differ dramatically between Singapore, Indonesia, Vietnam, and Philippines.",</w:t>
      </w:r>
    </w:p>
    <w:p>
      <w:pPr>
        <w:shd w:fill="F0F0F0" w:val="clear"/>
        <w:spacing w:after="14" w:before="14"/>
        <w:ind w:left="360"/>
      </w:pPr>
      <w:r>
        <w:rPr>
          <w:rFonts w:ascii="Courier New" w:cs="Courier New" w:eastAsia="Courier New" w:hAnsi="Courier New"/>
          <w:color w:val="1B2A4A"/>
          <w:sz w:val="16"/>
          <w:szCs w:val="16"/>
        </w:rPr>
        <w:t xml:space="preserve">      "Distribution fragmentation outside major cities is significant — reaching consumers outside Jakarta, Ho Chi Minh City, and Manila requires traditional trade distribution that varies across each market.",</w:t>
      </w:r>
    </w:p>
    <w:p>
      <w:pPr>
        <w:shd w:fill="F0F0F0" w:val="clear"/>
        <w:spacing w:after="14" w:before="14"/>
        <w:ind w:left="360"/>
      </w:pPr>
      <w:r>
        <w:rPr>
          <w:rFonts w:ascii="Courier New" w:cs="Courier New" w:eastAsia="Courier New" w:hAnsi="Courier New"/>
          <w:color w:val="1B2A4A"/>
          <w:sz w:val="16"/>
          <w:szCs w:val="16"/>
        </w:rPr>
        <w:t xml:space="preserve">      "Consumer price sensitivity varies considerably — Singapore consumers accept premium pricing while Indonesian and Philippine mass-market consumers require highly competitive pricing.",</w:t>
      </w:r>
    </w:p>
    <w:p>
      <w:pPr>
        <w:shd w:fill="F0F0F0" w:val="clear"/>
        <w:spacing w:after="14" w:before="14"/>
        <w:ind w:left="360"/>
      </w:pPr>
      <w:r>
        <w:rPr>
          <w:rFonts w:ascii="Courier New" w:cs="Courier New" w:eastAsia="Courier New" w:hAnsi="Courier New"/>
          <w:color w:val="1B2A4A"/>
          <w:sz w:val="16"/>
          <w:szCs w:val="16"/>
        </w:rPr>
        <w:t xml:space="preserve">      "TikTok Shop and social commerce require different operational capabilities — live stream commerce, creator partnerships, and rapid content production are all required for effective Southeast Asia social retail."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retail market prioritisation|You need to identify which ASEAN retail markets offer the best combination of consumer demand, channel access, and competitive dynamics for your product.",</w:t>
      </w:r>
    </w:p>
    <w:p>
      <w:pPr>
        <w:shd w:fill="F0F0F0" w:val="clear"/>
        <w:spacing w:after="14" w:before="14"/>
        <w:ind w:left="360"/>
      </w:pPr>
      <w:r>
        <w:rPr>
          <w:rFonts w:ascii="Courier New" w:cs="Courier New" w:eastAsia="Courier New" w:hAnsi="Courier New"/>
          <w:color w:val="1B2A4A"/>
          <w:sz w:val="16"/>
          <w:szCs w:val="16"/>
        </w:rPr>
        <w:t xml:space="preserve">      "Consumer demand validation across ASEAN|You need primary consumer research in each target market to validate product acceptance and preferred purchase channels.",</w:t>
      </w:r>
    </w:p>
    <w:p>
      <w:pPr>
        <w:shd w:fill="F0F0F0" w:val="clear"/>
        <w:spacing w:after="14" w:before="14"/>
        <w:ind w:left="360"/>
      </w:pPr>
      <w:r>
        <w:rPr>
          <w:rFonts w:ascii="Courier New" w:cs="Courier New" w:eastAsia="Courier New" w:hAnsi="Courier New"/>
          <w:color w:val="1B2A4A"/>
          <w:sz w:val="16"/>
          <w:szCs w:val="16"/>
        </w:rPr>
        <w:t xml:space="preserve">      "Southeast Asia retail platform and channel strategy|You need a Shopee, Lazada, TikTok Shop, and physical retail channel strategy for your specific product category.",</w:t>
      </w:r>
    </w:p>
    <w:p>
      <w:pPr>
        <w:shd w:fill="F0F0F0" w:val="clear"/>
        <w:spacing w:after="14" w:before="14"/>
        <w:ind w:left="360"/>
      </w:pPr>
      <w:r>
        <w:rPr>
          <w:rFonts w:ascii="Courier New" w:cs="Courier New" w:eastAsia="Courier New" w:hAnsi="Courier New"/>
          <w:color w:val="1B2A4A"/>
          <w:sz w:val="16"/>
          <w:szCs w:val="16"/>
        </w:rPr>
        <w:t xml:space="preserve">      "Distribution and retail partner identification|You need country-specific distributors, retail chains, and marketplace sellers across target markets.",</w:t>
      </w:r>
    </w:p>
    <w:p>
      <w:pPr>
        <w:shd w:fill="F0F0F0" w:val="clear"/>
        <w:spacing w:after="14" w:before="14"/>
        <w:ind w:left="360"/>
      </w:pPr>
      <w:r>
        <w:rPr>
          <w:rFonts w:ascii="Courier New" w:cs="Courier New" w:eastAsia="Courier New" w:hAnsi="Courier New"/>
          <w:color w:val="1B2A4A"/>
          <w:sz w:val="16"/>
          <w:szCs w:val="16"/>
        </w:rPr>
        <w:t xml:space="preserve">      "Southeast Asia retail GTM strategy|You need a market-by-market consumer acquisition plan covering digital and physical channels.",</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retail|You need a pitch book grounded in ASEAN consumer demand data across target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consumer demand across priority markets with primary consumer research and platform landscape analysis.",</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retail investment covering distribution economics and platform costs.",</w:t>
      </w:r>
    </w:p>
    <w:p>
      <w:pPr>
        <w:shd w:fill="F0F0F0" w:val="clear"/>
        <w:spacing w:after="14" w:before="14"/>
        <w:ind w:left="360"/>
      </w:pPr>
      <w:r>
        <w:rPr>
          <w:rFonts w:ascii="Courier New" w:cs="Courier New" w:eastAsia="Courier New" w:hAnsi="Courier New"/>
          <w:color w:val="1B2A4A"/>
          <w:sz w:val="16"/>
          <w:szCs w:val="16"/>
        </w:rPr>
        <w:t xml:space="preserve">      "End-to-end Southeast Asia retail market entry including channel strategy and distributor partner identification per market.",</w:t>
      </w:r>
    </w:p>
    <w:p>
      <w:pPr>
        <w:shd w:fill="F0F0F0" w:val="clear"/>
        <w:spacing w:after="14" w:before="14"/>
        <w:ind w:left="360"/>
      </w:pPr>
      <w:r>
        <w:rPr>
          <w:rFonts w:ascii="Courier New" w:cs="Courier New" w:eastAsia="Courier New" w:hAnsi="Courier New"/>
          <w:color w:val="1B2A4A"/>
          <w:sz w:val="16"/>
          <w:szCs w:val="16"/>
        </w:rPr>
        <w:t xml:space="preserve">      "Embedded Southeast Asia retail GTM team covering platform activation and traditional trade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retail investment with ASEAN consumer demand data.",</w:t>
      </w:r>
    </w:p>
    <w:p>
      <w:pPr>
        <w:shd w:fill="F0F0F0" w:val="clear"/>
        <w:spacing w:after="14" w:before="14"/>
        <w:ind w:left="360"/>
      </w:pPr>
      <w:r>
        <w:rPr>
          <w:rFonts w:ascii="Courier New" w:cs="Courier New" w:eastAsia="Courier New" w:hAnsi="Courier New"/>
          <w:color w:val="1B2A4A"/>
          <w:sz w:val="16"/>
          <w:szCs w:val="16"/>
        </w:rPr>
        <w:t xml:space="preserve">      "AI use-case identification — from TikTok Shop live commerce optimisation to demand forecasting across diverse ASEAN consumer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fashion retail brands or also with food, beauty, and electronics retail companies entering Southeast Asia?|All retail categories across fashion, beauty, food, electronics, and home goods.",</w:t>
      </w:r>
    </w:p>
    <w:p>
      <w:pPr>
        <w:shd w:fill="F0F0F0" w:val="clear"/>
        <w:spacing w:after="14" w:before="14"/>
        <w:ind w:left="360"/>
      </w:pPr>
      <w:r>
        <w:rPr>
          <w:rFonts w:ascii="Courier New" w:cs="Courier New" w:eastAsia="Courier New" w:hAnsi="Courier New"/>
          <w:color w:val="1B2A4A"/>
          <w:sz w:val="16"/>
          <w:szCs w:val="16"/>
        </w:rPr>
        <w:t xml:space="preserve">      "Which Southeast Asian retail markets does GreyRadius prioritise?|Indonesia and Vietnam as primary markets, Thailand and Philippines as secondary.",</w:t>
      </w:r>
    </w:p>
    <w:p>
      <w:pPr>
        <w:shd w:fill="F0F0F0" w:val="clear"/>
        <w:spacing w:after="14" w:before="14"/>
        <w:ind w:left="360"/>
      </w:pPr>
      <w:r>
        <w:rPr>
          <w:rFonts w:ascii="Courier New" w:cs="Courier New" w:eastAsia="Courier New" w:hAnsi="Courier New"/>
          <w:color w:val="1B2A4A"/>
          <w:sz w:val="16"/>
          <w:szCs w:val="16"/>
        </w:rPr>
        <w:t xml:space="preserve">      "How long does a Southeast Asia retail engagement take?|Typically 8–12 weeks for multi-market consumer research and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Southeast Asian retail distributors and e-commerce platform sellers?|Yes — distributor and marketplace seller identification are core to our Southeast Asia retail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retail market entry, Indonesia retail GTM strategy, Vietnam consumer brand consulting, ASEAN retail advisory, Southeast Asia ecommerce market entry, TikTok Shop ASEAN strategy",</w:t>
      </w:r>
    </w:p>
    <w:p>
      <w:pPr>
        <w:shd w:fill="F0F0F0" w:val="clear"/>
        <w:spacing w:after="14" w:before="14"/>
        <w:ind w:left="360"/>
      </w:pPr>
      <w:r>
        <w:rPr>
          <w:rFonts w:ascii="Courier New" w:cs="Courier New" w:eastAsia="Courier New" w:hAnsi="Courier New"/>
          <w:color w:val="1B2A4A"/>
          <w:sz w:val="16"/>
          <w:szCs w:val="16"/>
        </w:rPr>
        <w:t xml:space="preserve">    "regions": "Indonesia, Vietnam, Thailand, Philippines, Malaysia, Singapore",</w:t>
      </w:r>
    </w:p>
    <w:p>
      <w:pPr>
        <w:shd w:fill="F0F0F0" w:val="clear"/>
        <w:spacing w:after="14" w:before="14"/>
        <w:ind w:left="360"/>
      </w:pPr>
      <w:r>
        <w:rPr>
          <w:rFonts w:ascii="Courier New" w:cs="Courier New" w:eastAsia="Courier New" w:hAnsi="Courier New"/>
          <w:color w:val="1B2A4A"/>
          <w:sz w:val="16"/>
          <w:szCs w:val="16"/>
        </w:rPr>
        <w:t xml:space="preserve">    "stat1n": "$700B",</w:t>
      </w:r>
    </w:p>
    <w:p>
      <w:pPr>
        <w:shd w:fill="F0F0F0" w:val="clear"/>
        <w:spacing w:after="14" w:before="14"/>
        <w:ind w:left="360"/>
      </w:pPr>
      <w:r>
        <w:rPr>
          <w:rFonts w:ascii="Courier New" w:cs="Courier New" w:eastAsia="Courier New" w:hAnsi="Courier New"/>
          <w:color w:val="1B2A4A"/>
          <w:sz w:val="16"/>
          <w:szCs w:val="16"/>
        </w:rPr>
        <w:t xml:space="preserve">    "stat1l": "Southeast Asia retail market by 2028",</w:t>
      </w:r>
    </w:p>
    <w:p>
      <w:pPr>
        <w:shd w:fill="F0F0F0" w:val="clear"/>
        <w:spacing w:after="14" w:before="14"/>
        <w:ind w:left="360"/>
      </w:pPr>
      <w:r>
        <w:rPr>
          <w:rFonts w:ascii="Courier New" w:cs="Courier New" w:eastAsia="Courier New" w:hAnsi="Courier New"/>
          <w:color w:val="1B2A4A"/>
          <w:sz w:val="16"/>
          <w:szCs w:val="16"/>
        </w:rPr>
        <w:t xml:space="preserve">    "stat1b": "E-commerce growing at 25% within total — TikTok Shop, Shopee, and modern trade expansion all accelerating regional retail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retail mandate",</w:t>
      </w:r>
    </w:p>
    <w:p>
      <w:pPr>
        <w:shd w:fill="F0F0F0" w:val="clear"/>
        <w:spacing w:after="14" w:before="14"/>
        <w:ind w:left="360"/>
      </w:pPr>
      <w:r>
        <w:rPr>
          <w:rFonts w:ascii="Courier New" w:cs="Courier New" w:eastAsia="Courier New" w:hAnsi="Courier New"/>
          <w:color w:val="1B2A4A"/>
          <w:sz w:val="16"/>
          <w:szCs w:val="16"/>
        </w:rPr>
        <w:t xml:space="preserve">    "stat2b": "Southeast Asian consumers, retail buyers, and platform managers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"Southeast Asia retail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ASEAN consumer demand mapping and channel analysis delivers Southeast Asia retail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"africa-energy-market-entry",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"renewable-energy",</w:t>
      </w:r>
    </w:p>
    <w:p>
      <w:pPr>
        <w:shd w:fill="F0F0F0" w:val="clear"/>
        <w:spacing w:after="14" w:before="14"/>
        <w:ind w:left="360"/>
      </w:pPr>
      <w:r>
        <w:rPr>
          <w:rFonts w:ascii="Courier New" w:cs="Courier New" w:eastAsia="Courier New" w:hAnsi="Courier New"/>
          <w:color w:val="1B2A4A"/>
          <w:sz w:val="16"/>
          <w:szCs w:val="16"/>
        </w:rPr>
        <w:t xml:space="preserve">    "title": "Africa Energy &amp; Off-Grid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energy companies enter Africa with market entry strategy, regulatory mapping, DFI programme identification, and partner identification for solar, off-grid, and clean energy investment.",</w:t>
      </w:r>
    </w:p>
    <w:p>
      <w:pPr>
        <w:shd w:fill="F0F0F0" w:val="clear"/>
        <w:spacing w:after="14" w:before="14"/>
        <w:ind w:left="360"/>
      </w:pPr>
      <w:r>
        <w:rPr>
          <w:rFonts w:ascii="Courier New" w:cs="Courier New" w:eastAsia="Courier New" w:hAnsi="Courier New"/>
          <w:color w:val="1B2A4A"/>
          <w:sz w:val="16"/>
          <w:szCs w:val="16"/>
        </w:rPr>
        <w:t xml:space="preserve">    "h1": "Africa energy and off-grid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clean energy technology to African deployment — strategy for energy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energy access challenge is one of the world's most significant and commercially meaningful — with 600 million people without electricity access, governments investing billions in electrification, and a distributed off-grid and mini-grid solar market growing at extraordinary speed. International solar equipment manufacturers, off-grid energy access companies, mini-grid developers, pay-as-you-go solar businesses, and utility-scale renewable energy companies are all evaluating Africa as an energy investment destination. GreyRadius helps energy companies validate African market demand, identify government programme access, navigate regulatory requirements, and raise capital.",</w:t>
      </w:r>
    </w:p>
    <w:p>
      <w:pPr>
        <w:shd w:fill="F0F0F0" w:val="clear"/>
        <w:spacing w:after="14" w:before="14"/>
        <w:ind w:left="360"/>
      </w:pPr>
      <w:r>
        <w:rPr>
          <w:rFonts w:ascii="Courier New" w:cs="Courier New" w:eastAsia="Courier New" w:hAnsi="Courier New"/>
          <w:color w:val="1B2A4A"/>
          <w:sz w:val="16"/>
          <w:szCs w:val="16"/>
        </w:rPr>
        <w:t xml:space="preserve">    "market_timing": "Africa's energy transition is accelerating — World Bank and DFI energy access investment exceeded $10B in 2023 creating funded demand channels for energy technology companies. The Multilateral Investment Guarantee Agency, IFC, and bilateral development banks are all creating debt and equity instruments for African energy investment. Companies entering African energy in 2024–2027 are accessing DFI-supported financing that makes projects bankable.",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energy access market requires $25B annually to achieve universal electricity access by 2030 — creating the world's most significant energy investment opportunity relative to market size and need.",</w:t>
      </w:r>
    </w:p>
    <w:p>
      <w:pPr>
        <w:shd w:fill="F0F0F0" w:val="clear"/>
        <w:spacing w:after="14" w:before="14"/>
        <w:ind w:left="360"/>
      </w:pPr>
      <w:r>
        <w:rPr>
          <w:rFonts w:ascii="Courier New" w:cs="Courier New" w:eastAsia="Courier New" w:hAnsi="Courier New"/>
          <w:color w:val="1B2A4A"/>
          <w:sz w:val="16"/>
          <w:szCs w:val="16"/>
        </w:rPr>
        <w:t xml:space="preserve">      "Off-grid solar is growing at 20% annually across Sub-Saharan Africa — pay-as-you-go solar companies including M-KOPA, d.light, and BBOXX collectively serve 50 million people demonstrating commercial viability.",</w:t>
      </w:r>
    </w:p>
    <w:p>
      <w:pPr>
        <w:shd w:fill="F0F0F0" w:val="clear"/>
        <w:spacing w:after="14" w:before="14"/>
        <w:ind w:left="360"/>
      </w:pPr>
      <w:r>
        <w:rPr>
          <w:rFonts w:ascii="Courier New" w:cs="Courier New" w:eastAsia="Courier New" w:hAnsi="Courier New"/>
          <w:color w:val="1B2A4A"/>
          <w:sz w:val="16"/>
          <w:szCs w:val="16"/>
        </w:rPr>
        <w:t xml:space="preserve">      "East Africa is the world's most advanced off-grid energy market — Kenya, Tanzania, Uganda, and Ethiopia have developed financing, distribution, and regulatory frameworks for off-grid solar at scale.",</w:t>
      </w:r>
    </w:p>
    <w:p>
      <w:pPr>
        <w:shd w:fill="F0F0F0" w:val="clear"/>
        <w:spacing w:after="14" w:before="14"/>
        <w:ind w:left="360"/>
      </w:pPr>
      <w:r>
        <w:rPr>
          <w:rFonts w:ascii="Courier New" w:cs="Courier New" w:eastAsia="Courier New" w:hAnsi="Courier New"/>
          <w:color w:val="1B2A4A"/>
          <w:sz w:val="16"/>
          <w:szCs w:val="16"/>
        </w:rPr>
        <w:t xml:space="preserve">      "Africa's utility-scale renewable energy market is growing — South Africa's REIPPPP, Kenya's geothermal programme, and Morocco's solar expansion are all creating large project procurement opportunities."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"Currency risk is significant across African energy markets — revenue in local currency versus debt denominated in hard currency creates significant financial risk for African energy projects that must be structured carefully.",</w:t>
      </w:r>
    </w:p>
    <w:p>
      <w:pPr>
        <w:shd w:fill="F0F0F0" w:val="clear"/>
        <w:spacing w:after="14" w:before="14"/>
        <w:ind w:left="360"/>
      </w:pPr>
      <w:r>
        <w:rPr>
          <w:rFonts w:ascii="Courier New" w:cs="Courier New" w:eastAsia="Courier New" w:hAnsi="Courier New"/>
          <w:color w:val="1B2A4A"/>
          <w:sz w:val="16"/>
          <w:szCs w:val="16"/>
        </w:rPr>
        <w:t xml:space="preserve">      "Regulatory frameworks for off-grid energy vary — grid defection policies, net metering rules, and mini-grid licensing differ across African markets requiring country-specific regulatory assessment.",</w:t>
      </w:r>
    </w:p>
    <w:p>
      <w:pPr>
        <w:shd w:fill="F0F0F0" w:val="clear"/>
        <w:spacing w:after="14" w:before="14"/>
        <w:ind w:left="360"/>
      </w:pPr>
      <w:r>
        <w:rPr>
          <w:rFonts w:ascii="Courier New" w:cs="Courier New" w:eastAsia="Courier New" w:hAnsi="Courier New"/>
          <w:color w:val="1B2A4A"/>
          <w:sz w:val="16"/>
          <w:szCs w:val="16"/>
        </w:rPr>
        <w:t xml:space="preserve">      "DFI financing processes are slow and complex — accessing World Bank, IFC, and AfDB energy programme financing requires months of due diligence and documentation preparation.",</w:t>
      </w:r>
    </w:p>
    <w:p>
      <w:pPr>
        <w:shd w:fill="F0F0F0" w:val="clear"/>
        <w:spacing w:after="14" w:before="14"/>
        <w:ind w:left="360"/>
      </w:pPr>
      <w:r>
        <w:rPr>
          <w:rFonts w:ascii="Courier New" w:cs="Courier New" w:eastAsia="Courier New" w:hAnsi="Courier New"/>
          <w:color w:val="1B2A4A"/>
          <w:sz w:val="16"/>
          <w:szCs w:val="16"/>
        </w:rPr>
        <w:t xml:space="preserve">      "Last-mile customer acquisition for off-grid solar is operationally intensive — reaching rural customers across dispersed geographies requires significant field operations investment and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energy market prioritisation|You need to identify which African markets offer the best combination of energy demand, regulatory framework, and DFI financing access for your product.",</w:t>
      </w:r>
    </w:p>
    <w:p>
      <w:pPr>
        <w:shd w:fill="F0F0F0" w:val="clear"/>
        <w:spacing w:after="14" w:before="14"/>
        <w:ind w:left="360"/>
      </w:pPr>
      <w:r>
        <w:rPr>
          <w:rFonts w:ascii="Courier New" w:cs="Courier New" w:eastAsia="Courier New" w:hAnsi="Courier New"/>
          <w:color w:val="1B2A4A"/>
          <w:sz w:val="16"/>
          <w:szCs w:val="16"/>
        </w:rPr>
        <w:t xml:space="preserve">      "Government programme and DFI access|You need to understand World Bank, IFC, AfDB, and bilateral energy programme access opportunities for your energy technology or project.",</w:t>
      </w:r>
    </w:p>
    <w:p>
      <w:pPr>
        <w:shd w:fill="F0F0F0" w:val="clear"/>
        <w:spacing w:after="14" w:before="14"/>
        <w:ind w:left="360"/>
      </w:pPr>
      <w:r>
        <w:rPr>
          <w:rFonts w:ascii="Courier New" w:cs="Courier New" w:eastAsia="Courier New" w:hAnsi="Courier New"/>
          <w:color w:val="1B2A4A"/>
          <w:sz w:val="16"/>
          <w:szCs w:val="16"/>
        </w:rPr>
        <w:t xml:space="preserve">      "Africa energy partner identification|You need local distribution partners, government utility off-takers, and project development partners in each target market.",</w:t>
      </w:r>
    </w:p>
    <w:p>
      <w:pPr>
        <w:shd w:fill="F0F0F0" w:val="clear"/>
        <w:spacing w:after="14" w:before="14"/>
        <w:ind w:left="360"/>
      </w:pPr>
      <w:r>
        <w:rPr>
          <w:rFonts w:ascii="Courier New" w:cs="Courier New" w:eastAsia="Courier New" w:hAnsi="Courier New"/>
          <w:color w:val="1B2A4A"/>
          <w:sz w:val="16"/>
          <w:szCs w:val="16"/>
        </w:rPr>
        <w:t xml:space="preserve">      "Africa energy GTM strategy|You need a market-by-market energy deployment plan covering utility, commercial, and off-grid channels.",</w:t>
      </w:r>
    </w:p>
    <w:p>
      <w:pPr>
        <w:shd w:fill="F0F0F0" w:val="clear"/>
        <w:spacing w:after="14" w:before="14"/>
        <w:ind w:left="360"/>
      </w:pPr>
      <w:r>
        <w:rPr>
          <w:rFonts w:ascii="Courier New" w:cs="Courier New" w:eastAsia="Courier New" w:hAnsi="Courier New"/>
          <w:color w:val="1B2A4A"/>
          <w:sz w:val="16"/>
          <w:szCs w:val="16"/>
        </w:rPr>
        <w:t xml:space="preserve">      "Raising capital for Africa energy investment|You need a pitch book grounded in Africa energy demand data and DFI financing landscape analysis.",</w:t>
      </w:r>
    </w:p>
    <w:p>
      <w:pPr>
        <w:shd w:fill="F0F0F0" w:val="clear"/>
        <w:spacing w:after="14" w:before="14"/>
        <w:ind w:left="360"/>
      </w:pPr>
      <w:r>
        <w:rPr>
          <w:rFonts w:ascii="Courier New" w:cs="Courier New" w:eastAsia="Courier New" w:hAnsi="Courier New"/>
          <w:color w:val="1B2A4A"/>
          <w:sz w:val="16"/>
          <w:szCs w:val="16"/>
        </w:rPr>
        <w:t xml:space="preserve">      "Regulatory pathway for off-grid and mini-grid|You need to understand off-grid solar licensing, mini-grid framework, and net metering rules in your target African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energy demand and DFI programme access across priority African markets with primary research and funding landscape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energy investment including DFI financing structure modelling and currency risk analysis.",</w:t>
      </w:r>
    </w:p>
    <w:p>
      <w:pPr>
        <w:shd w:fill="F0F0F0" w:val="clear"/>
        <w:spacing w:after="14" w:before="14"/>
        <w:ind w:left="360"/>
      </w:pPr>
      <w:r>
        <w:rPr>
          <w:rFonts w:ascii="Courier New" w:cs="Courier New" w:eastAsia="Courier New" w:hAnsi="Courier New"/>
          <w:color w:val="1B2A4A"/>
          <w:sz w:val="16"/>
          <w:szCs w:val="16"/>
        </w:rPr>
        <w:t xml:space="preserve">      "End-to-end Africa energy market entry including government programme access identification and distribution partner development.",</w:t>
      </w:r>
    </w:p>
    <w:p>
      <w:pPr>
        <w:shd w:fill="F0F0F0" w:val="clear"/>
        <w:spacing w:after="14" w:before="14"/>
        <w:ind w:left="360"/>
      </w:pPr>
      <w:r>
        <w:rPr>
          <w:rFonts w:ascii="Courier New" w:cs="Courier New" w:eastAsia="Courier New" w:hAnsi="Courier New"/>
          <w:color w:val="1B2A4A"/>
          <w:sz w:val="16"/>
          <w:szCs w:val="16"/>
        </w:rPr>
        <w:t xml:space="preserve">      "Embedded Africa energy GTM team covering utility and off-grid channel outreach across priority markets.",</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energy investment with DFI financing narrative and impact story.",</w:t>
      </w:r>
    </w:p>
    <w:p>
      <w:pPr>
        <w:shd w:fill="F0F0F0" w:val="clear"/>
        <w:spacing w:after="14" w:before="14"/>
        <w:ind w:left="360"/>
      </w:pPr>
      <w:r>
        <w:rPr>
          <w:rFonts w:ascii="Courier New" w:cs="Courier New" w:eastAsia="Courier New" w:hAnsi="Courier New"/>
          <w:color w:val="1B2A4A"/>
          <w:sz w:val="16"/>
          <w:szCs w:val="16"/>
        </w:rPr>
        <w:t xml:space="preserve">      "AI use-case identification — from satellite-based rural demand mapping to pay-as-you-go credit scoring and off-grid maintenance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off-grid solar companies or also with utility-scale renewable and mini-grid developers?|All energy categories including off-grid solar, mini-grid, utility-scale renewable, and energy access technology.",</w:t>
      </w:r>
    </w:p>
    <w:p>
      <w:pPr>
        <w:shd w:fill="F0F0F0" w:val="clear"/>
        <w:spacing w:after="14" w:before="14"/>
        <w:ind w:left="360"/>
      </w:pPr>
      <w:r>
        <w:rPr>
          <w:rFonts w:ascii="Courier New" w:cs="Courier New" w:eastAsia="Courier New" w:hAnsi="Courier New"/>
          <w:color w:val="1B2A4A"/>
          <w:sz w:val="16"/>
          <w:szCs w:val="16"/>
        </w:rPr>
        <w:t xml:space="preserve">      "Which African energy markets does GreyRadius prioritise?|Kenya, Nigeria, South Africa, Ethiopia, and Morocco as primary markets.",</w:t>
      </w:r>
    </w:p>
    <w:p>
      <w:pPr>
        <w:shd w:fill="F0F0F0" w:val="clear"/>
        <w:spacing w:after="14" w:before="14"/>
        <w:ind w:left="360"/>
      </w:pPr>
      <w:r>
        <w:rPr>
          <w:rFonts w:ascii="Courier New" w:cs="Courier New" w:eastAsia="Courier New" w:hAnsi="Courier New"/>
          <w:color w:val="1B2A4A"/>
          <w:sz w:val="16"/>
          <w:szCs w:val="16"/>
        </w:rPr>
        <w:t xml:space="preserve">      "How long does an Africa energy market entry engagement take?|Typically 8–12 weeks for demand research, DFI programme mapping, and regulatory assessment.",</w:t>
      </w:r>
    </w:p>
    <w:p>
      <w:pPr>
        <w:shd w:fill="F0F0F0" w:val="clear"/>
        <w:spacing w:after="14" w:before="14"/>
        <w:ind w:left="360"/>
      </w:pPr>
      <w:r>
        <w:rPr>
          <w:rFonts w:ascii="Courier New" w:cs="Courier New" w:eastAsia="Courier New" w:hAnsi="Courier New"/>
          <w:color w:val="1B2A4A"/>
          <w:sz w:val="16"/>
          <w:szCs w:val="16"/>
        </w:rPr>
        <w:t xml:space="preserve">      "Can GreyRadius identify DFI financing programme access for African energy companies?|Yes — DFI programme mapping and financing access strategy are core to our Africa energy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energy market entry, off-grid solar GTM strategy, Africa clean energy consulting, African energy access advisory, Sub-Saharan renewable energy market entry",</w:t>
      </w:r>
    </w:p>
    <w:p>
      <w:pPr>
        <w:shd w:fill="F0F0F0" w:val="clear"/>
        <w:spacing w:after="14" w:before="14"/>
        <w:ind w:left="360"/>
      </w:pPr>
      <w:r>
        <w:rPr>
          <w:rFonts w:ascii="Courier New" w:cs="Courier New" w:eastAsia="Courier New" w:hAnsi="Courier New"/>
          <w:color w:val="1B2A4A"/>
          <w:sz w:val="16"/>
          <w:szCs w:val="16"/>
        </w:rPr>
        <w:t xml:space="preserve">    "regions": "Kenya, Nigeria, South Africa, Ethiopia, Tanzania, Morocco, Ghana",</w:t>
      </w:r>
    </w:p>
    <w:p>
      <w:pPr>
        <w:shd w:fill="F0F0F0" w:val="clear"/>
        <w:spacing w:after="14" w:before="14"/>
        <w:ind w:left="360"/>
      </w:pPr>
      <w:r>
        <w:rPr>
          <w:rFonts w:ascii="Courier New" w:cs="Courier New" w:eastAsia="Courier New" w:hAnsi="Courier New"/>
          <w:color w:val="1B2A4A"/>
          <w:sz w:val="16"/>
          <w:szCs w:val="16"/>
        </w:rPr>
        <w:t xml:space="preserve">    "stat1n": "$25B",</w:t>
      </w:r>
    </w:p>
    <w:p>
      <w:pPr>
        <w:shd w:fill="F0F0F0" w:val="clear"/>
        <w:spacing w:after="14" w:before="14"/>
        <w:ind w:left="360"/>
      </w:pPr>
      <w:r>
        <w:rPr>
          <w:rFonts w:ascii="Courier New" w:cs="Courier New" w:eastAsia="Courier New" w:hAnsi="Courier New"/>
          <w:color w:val="1B2A4A"/>
          <w:sz w:val="16"/>
          <w:szCs w:val="16"/>
        </w:rPr>
        <w:t xml:space="preserve">    "stat1l": "Annual investment needed for Africa universal energy access",</w:t>
      </w:r>
    </w:p>
    <w:p>
      <w:pPr>
        <w:shd w:fill="F0F0F0" w:val="clear"/>
        <w:spacing w:after="14" w:before="14"/>
        <w:ind w:left="360"/>
      </w:pPr>
      <w:r>
        <w:rPr>
          <w:rFonts w:ascii="Courier New" w:cs="Courier New" w:eastAsia="Courier New" w:hAnsi="Courier New"/>
          <w:color w:val="1B2A4A"/>
          <w:sz w:val="16"/>
          <w:szCs w:val="16"/>
        </w:rPr>
        <w:t xml:space="preserve">    "stat1b": "DFI and government energy programmes creating funded demand channels for energy technology companies entering Africa.",</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energy mandate",</w:t>
      </w:r>
    </w:p>
    <w:p>
      <w:pPr>
        <w:shd w:fill="F0F0F0" w:val="clear"/>
        <w:spacing w:after="14" w:before="14"/>
        <w:ind w:left="360"/>
      </w:pPr>
      <w:r>
        <w:rPr>
          <w:rFonts w:ascii="Courier New" w:cs="Courier New" w:eastAsia="Courier New" w:hAnsi="Courier New"/>
          <w:color w:val="1B2A4A"/>
          <w:sz w:val="16"/>
          <w:szCs w:val="16"/>
        </w:rPr>
        <w:t xml:space="preserve">    "stat2b": "Energy utilities, off-grid operators, and DFI programme managers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energy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DFI programme mapping and energy demand research delivers Africa energy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"india-climate-tech",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"carbon-markets",</w:t>
      </w:r>
    </w:p>
    <w:p>
      <w:pPr>
        <w:shd w:fill="F0F0F0" w:val="clear"/>
        <w:spacing w:after="14" w:before="14"/>
        <w:ind w:left="360"/>
      </w:pPr>
      <w:r>
        <w:rPr>
          <w:rFonts w:ascii="Courier New" w:cs="Courier New" w:eastAsia="Courier New" w:hAnsi="Courier New"/>
          <w:color w:val="1B2A4A"/>
          <w:sz w:val="16"/>
          <w:szCs w:val="16"/>
        </w:rPr>
        <w:t xml:space="preserve">    "title": "India Climate Tech &amp; Carbon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climate technology companies enter India with market entry strategy, carbon credit market access, BRSR compliance opportunity, government programme identification, and fundraising.",</w:t>
      </w:r>
    </w:p>
    <w:p>
      <w:pPr>
        <w:shd w:fill="F0F0F0" w:val="clear"/>
        <w:spacing w:after="14" w:before="14"/>
        <w:ind w:left="360"/>
      </w:pPr>
      <w:r>
        <w:rPr>
          <w:rFonts w:ascii="Courier New" w:cs="Courier New" w:eastAsia="Courier New" w:hAnsi="Courier New"/>
          <w:color w:val="1B2A4A"/>
          <w:sz w:val="16"/>
          <w:szCs w:val="16"/>
        </w:rPr>
        <w:t xml:space="preserve">    "h1": "India climate tech and carbon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climate technology to Indian carbon credit and enterprise deployment — strategy for climate 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 is the world's third-largest carbon emitter and simultaneously one of the most significant climate technology investment destinations — with a government committed to net-zero by 2070, a $35B green energy investment programme, SEBI's green bond framework, and a voluntary carbon market that is the world's largest by credit volume. International climate technology companies across carbon monitoring, ESG reporting, climate risk analytics, and carbon trading platforms are all evaluating India as a high-growth climate tech market. GreyRadius helps climate tech companies validate Indian enterprise and government demand, access carbon market infrastructure, and raise capital for India operations.",</w:t>
      </w:r>
    </w:p>
    <w:p>
      <w:pPr>
        <w:shd w:fill="F0F0F0" w:val="clear"/>
        <w:spacing w:after="14" w:before="14"/>
        <w:ind w:left="360"/>
      </w:pPr>
      <w:r>
        <w:rPr>
          <w:rFonts w:ascii="Courier New" w:cs="Courier New" w:eastAsia="Courier New" w:hAnsi="Courier New"/>
          <w:color w:val="1B2A4A"/>
          <w:sz w:val="16"/>
          <w:szCs w:val="16"/>
        </w:rPr>
        <w:t xml:space="preserve">    "market_timing": "India's domestic carbon credit market is under development — BEE's carbon credit trading scheme and SEBI's ESG disclosure requirements are both creating demand for carbon measurement, reporting, and trading technology. India's BRSR mandatory disclosure for top 1,000 Indian listed companies is creating urgent enterprise ESG technology demand that sophisticated climate tech companies can access now.",</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carbon credit market generated 300M+ VCUs in 2023 — making India the world's largest voluntary carbon credit originator and creating infrastructure for climate tech platform deployment.",</w:t>
      </w:r>
    </w:p>
    <w:p>
      <w:pPr>
        <w:shd w:fill="F0F0F0" w:val="clear"/>
        <w:spacing w:after="14" w:before="14"/>
        <w:ind w:left="360"/>
      </w:pPr>
      <w:r>
        <w:rPr>
          <w:rFonts w:ascii="Courier New" w:cs="Courier New" w:eastAsia="Courier New" w:hAnsi="Courier New"/>
          <w:color w:val="1B2A4A"/>
          <w:sz w:val="16"/>
          <w:szCs w:val="16"/>
        </w:rPr>
        <w:t xml:space="preserve">      "SEBI's BRSR mandatory ESG reporting for India's top 1,000 listed companies is creating significant demand for ESG data management and reporting software across Indian corporates.",</w:t>
      </w:r>
    </w:p>
    <w:p>
      <w:pPr>
        <w:shd w:fill="F0F0F0" w:val="clear"/>
        <w:spacing w:after="14" w:before="14"/>
        <w:ind w:left="360"/>
      </w:pPr>
      <w:r>
        <w:rPr>
          <w:rFonts w:ascii="Courier New" w:cs="Courier New" w:eastAsia="Courier New" w:hAnsi="Courier New"/>
          <w:color w:val="1B2A4A"/>
          <w:sz w:val="16"/>
          <w:szCs w:val="16"/>
        </w:rPr>
        <w:t xml:space="preserve">      "India's climate risk exposure is among the world's highest — physical climate risk to Indian agriculture, infrastructure, and real estate is driving growing demand for climate risk analytics platforms.",</w:t>
      </w:r>
    </w:p>
    <w:p>
      <w:pPr>
        <w:shd w:fill="F0F0F0" w:val="clear"/>
        <w:spacing w:after="14" w:before="14"/>
        <w:ind w:left="360"/>
      </w:pPr>
      <w:r>
        <w:rPr>
          <w:rFonts w:ascii="Courier New" w:cs="Courier New" w:eastAsia="Courier New" w:hAnsi="Courier New"/>
          <w:color w:val="1B2A4A"/>
          <w:sz w:val="16"/>
          <w:szCs w:val="16"/>
        </w:rPr>
        <w:t xml:space="preserve">      "India's green bond issuance grew 50% in 2023 — corporate and government green bond issuers all requiring credible ESG impact measurement and reporting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"India's voluntary carbon market has quality credibility issues — several Indian carbon credit projects have faced international scrutiny creating trust challenges for carbon platform companies.",</w:t>
      </w:r>
    </w:p>
    <w:p>
      <w:pPr>
        <w:shd w:fill="F0F0F0" w:val="clear"/>
        <w:spacing w:after="14" w:before="14"/>
        <w:ind w:left="360"/>
      </w:pPr>
      <w:r>
        <w:rPr>
          <w:rFonts w:ascii="Courier New" w:cs="Courier New" w:eastAsia="Courier New" w:hAnsi="Courier New"/>
          <w:color w:val="1B2A4A"/>
          <w:sz w:val="16"/>
          <w:szCs w:val="16"/>
        </w:rPr>
        <w:t xml:space="preserve">      "ESG reporting in India is still early-stage — while BRSR mandates disclosure, the quality of data collection and reporting is highly variable across Indian corporates requiring significant customer education.",</w:t>
      </w:r>
    </w:p>
    <w:p>
      <w:pPr>
        <w:shd w:fill="F0F0F0" w:val="clear"/>
        <w:spacing w:after="14" w:before="14"/>
        <w:ind w:left="360"/>
      </w:pPr>
      <w:r>
        <w:rPr>
          <w:rFonts w:ascii="Courier New" w:cs="Courier New" w:eastAsia="Courier New" w:hAnsi="Courier New"/>
          <w:color w:val="1B2A4A"/>
          <w:sz w:val="16"/>
          <w:szCs w:val="16"/>
        </w:rPr>
        <w:t xml:space="preserve">      "Climate risk data for India is limited — granular physical climate risk data for Indian infrastructure and agriculture assets is incomplete requiring significant data development investment.",</w:t>
      </w:r>
    </w:p>
    <w:p>
      <w:pPr>
        <w:shd w:fill="F0F0F0" w:val="clear"/>
        <w:spacing w:after="14" w:before="14"/>
        <w:ind w:left="360"/>
      </w:pPr>
      <w:r>
        <w:rPr>
          <w:rFonts w:ascii="Courier New" w:cs="Courier New" w:eastAsia="Courier New" w:hAnsi="Courier New"/>
          <w:color w:val="1B2A4A"/>
          <w:sz w:val="16"/>
          <w:szCs w:val="16"/>
        </w:rPr>
        <w:t xml:space="preserve">      "Enterprise buyer education is required — Indian CFOs and sustainability officers are still developing understanding of climate risk and carbon market opportunities and value propositions."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climate tech enterprise demand validation|You need to validate Indian corporate demand for ESG reporting, carbon monitoring, and climate risk technology products.",</w:t>
      </w:r>
    </w:p>
    <w:p>
      <w:pPr>
        <w:shd w:fill="F0F0F0" w:val="clear"/>
        <w:spacing w:after="14" w:before="14"/>
        <w:ind w:left="360"/>
      </w:pPr>
      <w:r>
        <w:rPr>
          <w:rFonts w:ascii="Courier New" w:cs="Courier New" w:eastAsia="Courier New" w:hAnsi="Courier New"/>
          <w:color w:val="1B2A4A"/>
          <w:sz w:val="16"/>
          <w:szCs w:val="16"/>
        </w:rPr>
        <w:t xml:space="preserve">      "BRSR and regulatory compliance opportunity|You need to understand BRSR disclosure requirements and how they create specific technology procurement demand across India's listed companies.",</w:t>
      </w:r>
    </w:p>
    <w:p>
      <w:pPr>
        <w:shd w:fill="F0F0F0" w:val="clear"/>
        <w:spacing w:after="14" w:before="14"/>
        <w:ind w:left="360"/>
      </w:pPr>
      <w:r>
        <w:rPr>
          <w:rFonts w:ascii="Courier New" w:cs="Courier New" w:eastAsia="Courier New" w:hAnsi="Courier New"/>
          <w:color w:val="1B2A4A"/>
          <w:sz w:val="16"/>
          <w:szCs w:val="16"/>
        </w:rPr>
        <w:t xml:space="preserve">      "India carbon credit market access|You need to understand India's domestic carbon credit trading scheme and voluntary carbon market infrastructure for integration.",</w:t>
      </w:r>
    </w:p>
    <w:p>
      <w:pPr>
        <w:shd w:fill="F0F0F0" w:val="clear"/>
        <w:spacing w:after="14" w:before="14"/>
        <w:ind w:left="360"/>
      </w:pPr>
      <w:r>
        <w:rPr>
          <w:rFonts w:ascii="Courier New" w:cs="Courier New" w:eastAsia="Courier New" w:hAnsi="Courier New"/>
          <w:color w:val="1B2A4A"/>
          <w:sz w:val="16"/>
          <w:szCs w:val="16"/>
        </w:rPr>
        <w:t xml:space="preserve">      "India climate tech GTM strategy|You need a go-to-market plan covering Indian listed companies, financial institutions, and government buyers.",</w:t>
      </w:r>
    </w:p>
    <w:p>
      <w:pPr>
        <w:shd w:fill="F0F0F0" w:val="clear"/>
        <w:spacing w:after="14" w:before="14"/>
        <w:ind w:left="360"/>
      </w:pPr>
      <w:r>
        <w:rPr>
          <w:rFonts w:ascii="Courier New" w:cs="Courier New" w:eastAsia="Courier New" w:hAnsi="Courier New"/>
          <w:color w:val="1B2A4A"/>
          <w:sz w:val="16"/>
          <w:szCs w:val="16"/>
        </w:rPr>
        <w:t xml:space="preserve">      "Raising capital for India climate tech|You need a pitch book grounded in India climate market data and regulatory tailwind analysis for investors.",</w:t>
      </w:r>
    </w:p>
    <w:p>
      <w:pPr>
        <w:shd w:fill="F0F0F0" w:val="clear"/>
        <w:spacing w:after="14" w:before="14"/>
        <w:ind w:left="360"/>
      </w:pPr>
      <w:r>
        <w:rPr>
          <w:rFonts w:ascii="Courier New" w:cs="Courier New" w:eastAsia="Courier New" w:hAnsi="Courier New"/>
          <w:color w:val="1B2A4A"/>
          <w:sz w:val="16"/>
          <w:szCs w:val="16"/>
        </w:rPr>
        <w:t xml:space="preserve">      "Carbon credit quality and verification partner identification|You need VERRA and Gold Standard-approved verification partners for India carbon project development."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enterprise demand for climate tech with BRSR compliance landscape mapping and corporate sustainability buyer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climate tech investment covering enterprise adoption modelling and regulatory compliance cost.",</w:t>
      </w:r>
    </w:p>
    <w:p>
      <w:pPr>
        <w:shd w:fill="F0F0F0" w:val="clear"/>
        <w:spacing w:after="14" w:before="14"/>
        <w:ind w:left="360"/>
      </w:pPr>
      <w:r>
        <w:rPr>
          <w:rFonts w:ascii="Courier New" w:cs="Courier New" w:eastAsia="Courier New" w:hAnsi="Courier New"/>
          <w:color w:val="1B2A4A"/>
          <w:sz w:val="16"/>
          <w:szCs w:val="16"/>
        </w:rPr>
        <w:t xml:space="preserve">      "End-to-end India climate tech market entry including carbon market access and enterprise buyer development.",</w:t>
      </w:r>
    </w:p>
    <w:p>
      <w:pPr>
        <w:shd w:fill="F0F0F0" w:val="clear"/>
        <w:spacing w:after="14" w:before="14"/>
        <w:ind w:left="360"/>
      </w:pPr>
      <w:r>
        <w:rPr>
          <w:rFonts w:ascii="Courier New" w:cs="Courier New" w:eastAsia="Courier New" w:hAnsi="Courier New"/>
          <w:color w:val="1B2A4A"/>
          <w:sz w:val="16"/>
          <w:szCs w:val="16"/>
        </w:rPr>
        <w:t xml:space="preserve">      "Embedded India climate tech GTM team covering corporate and government sustainability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climate tech investment with BRSR demand narrative and carbon market opportunity.",</w:t>
      </w:r>
    </w:p>
    <w:p>
      <w:pPr>
        <w:shd w:fill="F0F0F0" w:val="clear"/>
        <w:spacing w:after="14" w:before="14"/>
        <w:ind w:left="360"/>
      </w:pPr>
      <w:r>
        <w:rPr>
          <w:rFonts w:ascii="Courier New" w:cs="Courier New" w:eastAsia="Courier New" w:hAnsi="Courier New"/>
          <w:color w:val="1B2A4A"/>
          <w:sz w:val="16"/>
          <w:szCs w:val="16"/>
        </w:rPr>
        <w:t xml:space="preserve">      "AI use-case identification — from BRSR automated compliance reporting to satellite-based Indian carbon monitoring platforms."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carbon monitoring companies or also with ESG reporting, climate risk, and carbon trading platforms?|All climate tech categories across carbon monitoring, ESG reporting, climate risk analytics, and trading platforms.",</w:t>
      </w:r>
    </w:p>
    <w:p>
      <w:pPr>
        <w:shd w:fill="F0F0F0" w:val="clear"/>
        <w:spacing w:after="14" w:before="14"/>
        <w:ind w:left="360"/>
      </w:pPr>
      <w:r>
        <w:rPr>
          <w:rFonts w:ascii="Courier New" w:cs="Courier New" w:eastAsia="Courier New" w:hAnsi="Courier New"/>
          <w:color w:val="1B2A4A"/>
          <w:sz w:val="16"/>
          <w:szCs w:val="16"/>
        </w:rPr>
        <w:t xml:space="preserve">      "How long does an India climate tech engagement take?|Typically 6–10 weeks for enterprise demand research, BRSR compliance mapping, and carbon market access strategy.",</w:t>
      </w:r>
    </w:p>
    <w:p>
      <w:pPr>
        <w:shd w:fill="F0F0F0" w:val="clear"/>
        <w:spacing w:after="14" w:before="14"/>
        <w:ind w:left="360"/>
      </w:pPr>
      <w:r>
        <w:rPr>
          <w:rFonts w:ascii="Courier New" w:cs="Courier New" w:eastAsia="Courier New" w:hAnsi="Courier New"/>
          <w:color w:val="1B2A4A"/>
          <w:sz w:val="16"/>
          <w:szCs w:val="16"/>
        </w:rPr>
        <w:t xml:space="preserve">      "Can GreyRadius identify carbon credit verification partners in India?|Yes — VERRA and Gold Standard verification partner identification is part of our India climate tech market entry service.",</w:t>
      </w:r>
    </w:p>
    <w:p>
      <w:pPr>
        <w:shd w:fill="F0F0F0" w:val="clear"/>
        <w:spacing w:after="14" w:before="14"/>
        <w:ind w:left="360"/>
      </w:pPr>
      <w:r>
        <w:rPr>
          <w:rFonts w:ascii="Courier New" w:cs="Courier New" w:eastAsia="Courier New" w:hAnsi="Courier New"/>
          <w:color w:val="1B2A4A"/>
          <w:sz w:val="16"/>
          <w:szCs w:val="16"/>
        </w:rPr>
        <w:t xml:space="preserve">      "How does BRSR create commercial opportunity for climate tech companies?|BRSR mandatory disclosure for 1,000+ listed companies creates immediate enterprise procurement demand — we map this demand as part of every India climate tech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climate tech market entry, India carbon market GTM strategy, India ESG consulting, BRSR compliance advisory, India carbon credits market entry, India sustainability technology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w:t>
      </w:r>
    </w:p>
    <w:p>
      <w:pPr>
        <w:shd w:fill="F0F0F0" w:val="clear"/>
        <w:spacing w:after="14" w:before="14"/>
        <w:ind w:left="360"/>
      </w:pPr>
      <w:r>
        <w:rPr>
          <w:rFonts w:ascii="Courier New" w:cs="Courier New" w:eastAsia="Courier New" w:hAnsi="Courier New"/>
          <w:color w:val="1B2A4A"/>
          <w:sz w:val="16"/>
          <w:szCs w:val="16"/>
        </w:rPr>
        <w:t xml:space="preserve">    "stat1n": "300M+",</w:t>
      </w:r>
    </w:p>
    <w:p>
      <w:pPr>
        <w:shd w:fill="F0F0F0" w:val="clear"/>
        <w:spacing w:after="14" w:before="14"/>
        <w:ind w:left="360"/>
      </w:pPr>
      <w:r>
        <w:rPr>
          <w:rFonts w:ascii="Courier New" w:cs="Courier New" w:eastAsia="Courier New" w:hAnsi="Courier New"/>
          <w:color w:val="1B2A4A"/>
          <w:sz w:val="16"/>
          <w:szCs w:val="16"/>
        </w:rPr>
        <w:t xml:space="preserve">    "stat1l": "India voluntary carbon credit units originated annually",</w:t>
      </w:r>
    </w:p>
    <w:p>
      <w:pPr>
        <w:shd w:fill="F0F0F0" w:val="clear"/>
        <w:spacing w:after="14" w:before="14"/>
        <w:ind w:left="360"/>
      </w:pPr>
      <w:r>
        <w:rPr>
          <w:rFonts w:ascii="Courier New" w:cs="Courier New" w:eastAsia="Courier New" w:hAnsi="Courier New"/>
          <w:color w:val="1B2A4A"/>
          <w:sz w:val="16"/>
          <w:szCs w:val="16"/>
        </w:rPr>
        <w:t xml:space="preserve">    "stat1b": "Making India the world's largest VCU originator — combined with BRSR mandatory reporting creating dual enterprise and carbon market demand.",</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climate tech mandate",</w:t>
      </w:r>
    </w:p>
    <w:p>
      <w:pPr>
        <w:shd w:fill="F0F0F0" w:val="clear"/>
        <w:spacing w:after="14" w:before="14"/>
        <w:ind w:left="360"/>
      </w:pPr>
      <w:r>
        <w:rPr>
          <w:rFonts w:ascii="Courier New" w:cs="Courier New" w:eastAsia="Courier New" w:hAnsi="Courier New"/>
          <w:color w:val="1B2A4A"/>
          <w:sz w:val="16"/>
          <w:szCs w:val="16"/>
        </w:rPr>
        <w:t xml:space="preserve">    "stat2b": "Indian CSOs, sustainability managers, and government carbon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climate 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BRSR compliance mapping and carbon market research delivers India climate 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"gulf-hospitality-market-entry",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"hospitality-tourism",</w:t>
      </w:r>
    </w:p>
    <w:p>
      <w:pPr>
        <w:shd w:fill="F0F0F0" w:val="clear"/>
        <w:spacing w:after="14" w:before="14"/>
        <w:ind w:left="360"/>
      </w:pPr>
      <w:r>
        <w:rPr>
          <w:rFonts w:ascii="Courier New" w:cs="Courier New" w:eastAsia="Courier New" w:hAnsi="Courier New"/>
          <w:color w:val="1B2A4A"/>
          <w:sz w:val="16"/>
          <w:szCs w:val="16"/>
        </w:rPr>
        <w:t xml:space="preserve">    "title": "Gulf Hospitality &amp; Tourism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hospitality brands, hotel technology companies, and tourism businesses enter Gulf markets with market entry strategy, regulatory mapping, partner identification, and fundraising.",</w:t>
      </w:r>
    </w:p>
    <w:p>
      <w:pPr>
        <w:shd w:fill="F0F0F0" w:val="clear"/>
        <w:spacing w:after="14" w:before="14"/>
        <w:ind w:left="360"/>
      </w:pPr>
      <w:r>
        <w:rPr>
          <w:rFonts w:ascii="Courier New" w:cs="Courier New" w:eastAsia="Courier New" w:hAnsi="Courier New"/>
          <w:color w:val="1B2A4A"/>
          <w:sz w:val="16"/>
          <w:szCs w:val="16"/>
        </w:rPr>
        <w:t xml:space="preserve">    "h1": "Gulf hospitality and tourism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hospitality brand to Gulf guest experience — strategy for hospitality businesses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hospitality and tourism market is undergoing the most significant expansion in its history — with Saudi Arabia targeting 150 million annual visitors by 2030, UAE sustaining 20M+ annual tourist arrivals, Qatar's post-World Cup tourism development, and billions being invested in hotels, resorts, entertainment, and tourism infrastructure across the GCC. International hotel brands, resort operators, hospitality technology companies, food and beverage concepts, and tourism service businesses are all evaluating Gulf hospitality market entry. GreyRadius helps hospitality businesses validate Gulf guest demand, navigate licensing requirements, identify local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hospitality investment is unprecedented — the Red Sea Project, NEOM, Diriyah, and AlUla are collectively creating 150,000+ new hotel keys requiring international hospitality brands and operators. UAE's sustained tourism leadership and Qatar's MICE and cultural tourism development are both creating parallel market entry opportunities. The hospitality brands and technology companies establishing Gulf relationships in 2024–2027 will operate in these markets for decades.",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hospitality market is projected to reach $75B by 2028 — growing at 15% annually as Saudi Arabia's Vision 2030 tourism targets, UAE's sustained tourism leadership, and Qatar's event tourism all scale.",</w:t>
      </w:r>
    </w:p>
    <w:p>
      <w:pPr>
        <w:shd w:fill="F0F0F0" w:val="clear"/>
        <w:spacing w:after="14" w:before="14"/>
        <w:ind w:left="360"/>
      </w:pPr>
      <w:r>
        <w:rPr>
          <w:rFonts w:ascii="Courier New" w:cs="Courier New" w:eastAsia="Courier New" w:hAnsi="Courier New"/>
          <w:color w:val="1B2A4A"/>
          <w:sz w:val="16"/>
          <w:szCs w:val="16"/>
        </w:rPr>
        <w:t xml:space="preserve">      "Saudi Arabia's Red Sea Project alone will create 50 luxury and ultra-luxury resort properties — requiring international hotel operators, F&amp;B concepts, and hospitality technology that currently does not have Gulf relationships.",</w:t>
      </w:r>
    </w:p>
    <w:p>
      <w:pPr>
        <w:shd w:fill="F0F0F0" w:val="clear"/>
        <w:spacing w:after="14" w:before="14"/>
        <w:ind w:left="360"/>
      </w:pPr>
      <w:r>
        <w:rPr>
          <w:rFonts w:ascii="Courier New" w:cs="Courier New" w:eastAsia="Courier New" w:hAnsi="Courier New"/>
          <w:color w:val="1B2A4A"/>
          <w:sz w:val="16"/>
          <w:szCs w:val="16"/>
        </w:rPr>
        <w:t xml:space="preserve">      "UAE hotel occupancy rates are among the world's highest at 75%+ — driven by business travel, tourism, and conference demand creating strong investment economics for new hotel development.",</w:t>
      </w:r>
    </w:p>
    <w:p>
      <w:pPr>
        <w:shd w:fill="F0F0F0" w:val="clear"/>
        <w:spacing w:after="14" w:before="14"/>
        <w:ind w:left="360"/>
      </w:pPr>
      <w:r>
        <w:rPr>
          <w:rFonts w:ascii="Courier New" w:cs="Courier New" w:eastAsia="Courier New" w:hAnsi="Courier New"/>
          <w:color w:val="1B2A4A"/>
          <w:sz w:val="16"/>
          <w:szCs w:val="16"/>
        </w:rPr>
        <w:t xml:space="preserve">      "Hospitality technology adoption in Gulf hotels is accelerating — property management systems, revenue management, and guest experience platforms are all seeing significant procurement from Gulf hotel operators."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"Hospitality licensing and hotel classification requirements vary across Gulf markets — each market has different hotel category standards, F&amp;B licensing, and entertainment permit requirements.",</w:t>
      </w:r>
    </w:p>
    <w:p>
      <w:pPr>
        <w:shd w:fill="F0F0F0" w:val="clear"/>
        <w:spacing w:after="14" w:before="14"/>
        <w:ind w:left="360"/>
      </w:pPr>
      <w:r>
        <w:rPr>
          <w:rFonts w:ascii="Courier New" w:cs="Courier New" w:eastAsia="Courier New" w:hAnsi="Courier New"/>
          <w:color w:val="1B2A4A"/>
          <w:sz w:val="16"/>
          <w:szCs w:val="16"/>
        </w:rPr>
        <w:t xml:space="preserve">      "Cultural requirements affect hospitality operations — alcohol licensing restrictions, halal food requirements, gender-related service protocols, and prayer time accommodation all affect hotel operations in Gulf markets.",</w:t>
      </w:r>
    </w:p>
    <w:p>
      <w:pPr>
        <w:shd w:fill="F0F0F0" w:val="clear"/>
        <w:spacing w:after="14" w:before="14"/>
        <w:ind w:left="360"/>
      </w:pPr>
      <w:r>
        <w:rPr>
          <w:rFonts w:ascii="Courier New" w:cs="Courier New" w:eastAsia="Courier New" w:hAnsi="Courier New"/>
          <w:color w:val="1B2A4A"/>
          <w:sz w:val="16"/>
          <w:szCs w:val="16"/>
        </w:rPr>
        <w:t xml:space="preserve">      "Competition from established global hotel brands — Marriott, Hilton, IHG, and Accor — is intense and all have significant Gulf footprints, relationships, and pipeline commitments.",</w:t>
      </w:r>
    </w:p>
    <w:p>
      <w:pPr>
        <w:shd w:fill="F0F0F0" w:val="clear"/>
        <w:spacing w:after="14" w:before="14"/>
        <w:ind w:left="360"/>
      </w:pPr>
      <w:r>
        <w:rPr>
          <w:rFonts w:ascii="Courier New" w:cs="Courier New" w:eastAsia="Courier New" w:hAnsi="Courier New"/>
          <w:color w:val="1B2A4A"/>
          <w:sz w:val="16"/>
          <w:szCs w:val="16"/>
        </w:rPr>
        <w:t xml:space="preserve">      "Staff recruitment and Saudisation requirements create HR management complexity — Gulf hospitality labour markets are tight and nationalisation targets affect workforce planning."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hospitality demand validation|You need to validate guest demand for your hospitality concept, hotel technology, or tourism service in specific Gulf markets and locations.",</w:t>
      </w:r>
    </w:p>
    <w:p>
      <w:pPr>
        <w:shd w:fill="F0F0F0" w:val="clear"/>
        <w:spacing w:after="14" w:before="14"/>
        <w:ind w:left="360"/>
      </w:pPr>
      <w:r>
        <w:rPr>
          <w:rFonts w:ascii="Courier New" w:cs="Courier New" w:eastAsia="Courier New" w:hAnsi="Courier New"/>
          <w:color w:val="1B2A4A"/>
          <w:sz w:val="16"/>
          <w:szCs w:val="16"/>
        </w:rPr>
        <w:t xml:space="preserve">      "Licensing and regulatory pathway|You need to understand hotel classification, F&amp;B licensing, entertainment permits, and hospitality regulatory requirements in UAE, Saudi Arabia, and Qatar.",</w:t>
      </w:r>
    </w:p>
    <w:p>
      <w:pPr>
        <w:shd w:fill="F0F0F0" w:val="clear"/>
        <w:spacing w:after="14" w:before="14"/>
        <w:ind w:left="360"/>
      </w:pPr>
      <w:r>
        <w:rPr>
          <w:rFonts w:ascii="Courier New" w:cs="Courier New" w:eastAsia="Courier New" w:hAnsi="Courier New"/>
          <w:color w:val="1B2A4A"/>
          <w:sz w:val="16"/>
          <w:szCs w:val="16"/>
        </w:rPr>
        <w:t xml:space="preserve">      "Gulf hospitality partner identification|You need local hotel owners, real estate developers, tourism boards, and hospitality management companies as commercial partners.",</w:t>
      </w:r>
    </w:p>
    <w:p>
      <w:pPr>
        <w:shd w:fill="F0F0F0" w:val="clear"/>
        <w:spacing w:after="14" w:before="14"/>
        <w:ind w:left="360"/>
      </w:pPr>
      <w:r>
        <w:rPr>
          <w:rFonts w:ascii="Courier New" w:cs="Courier New" w:eastAsia="Courier New" w:hAnsi="Courier New"/>
          <w:color w:val="1B2A4A"/>
          <w:sz w:val="16"/>
          <w:szCs w:val="16"/>
        </w:rPr>
        <w:t xml:space="preserve">      "Gulf hospitality technology GTM|You have a PMS, revenue management, or guest experience technology and need a go-to-market strategy covering Gulf hotel group acquisition.",</w:t>
      </w:r>
    </w:p>
    <w:p>
      <w:pPr>
        <w:shd w:fill="F0F0F0" w:val="clear"/>
        <w:spacing w:after="14" w:before="14"/>
        <w:ind w:left="360"/>
      </w:pPr>
      <w:r>
        <w:rPr>
          <w:rFonts w:ascii="Courier New" w:cs="Courier New" w:eastAsia="Courier New" w:hAnsi="Courier New"/>
          <w:color w:val="1B2A4A"/>
          <w:sz w:val="16"/>
          <w:szCs w:val="16"/>
        </w:rPr>
        <w:t xml:space="preserve">      "Raising capital for Gulf hospitality investment|You need a pitch book grounded in Gulf tourism market data and Vision 2030 hospitality investment analysis.",</w:t>
      </w:r>
    </w:p>
    <w:p>
      <w:pPr>
        <w:shd w:fill="F0F0F0" w:val="clear"/>
        <w:spacing w:after="14" w:before="14"/>
        <w:ind w:left="360"/>
      </w:pPr>
      <w:r>
        <w:rPr>
          <w:rFonts w:ascii="Courier New" w:cs="Courier New" w:eastAsia="Courier New" w:hAnsi="Courier New"/>
          <w:color w:val="1B2A4A"/>
          <w:sz w:val="16"/>
          <w:szCs w:val="16"/>
        </w:rPr>
        <w:t xml:space="preserve">      "Saudi Arabia hospitality development opportunity|You need to understand how to access Saudi Red Sea Project, NEOM, Diriyah, and AlUla hotel management and brand opportunities."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guest demand for your hospitality concept or technology with primary research across tourist and business traveller segments.",</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hospitality investment covering licensing cost and cultural compliance requirements.",</w:t>
      </w:r>
    </w:p>
    <w:p>
      <w:pPr>
        <w:shd w:fill="F0F0F0" w:val="clear"/>
        <w:spacing w:after="14" w:before="14"/>
        <w:ind w:left="360"/>
      </w:pPr>
      <w:r>
        <w:rPr>
          <w:rFonts w:ascii="Courier New" w:cs="Courier New" w:eastAsia="Courier New" w:hAnsi="Courier New"/>
          <w:color w:val="1B2A4A"/>
          <w:sz w:val="16"/>
          <w:szCs w:val="16"/>
        </w:rPr>
        <w:t xml:space="preserve">      "End-to-end Gulf hospitality market entry including regulatory pathway, partner identification, and first-hotel-contract milestone.",</w:t>
      </w:r>
    </w:p>
    <w:p>
      <w:pPr>
        <w:shd w:fill="F0F0F0" w:val="clear"/>
        <w:spacing w:after="14" w:before="14"/>
        <w:ind w:left="360"/>
      </w:pPr>
      <w:r>
        <w:rPr>
          <w:rFonts w:ascii="Courier New" w:cs="Courier New" w:eastAsia="Courier New" w:hAnsi="Courier New"/>
          <w:color w:val="1B2A4A"/>
          <w:sz w:val="16"/>
          <w:szCs w:val="16"/>
        </w:rPr>
        <w:t xml:space="preserve">      "Embedded Gulf hospitality GTM team covering hotel group and Saudi development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hospitality investment with Vision 2030 tourism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guest services to Gulf demand forecasting and revenue management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hotel brands or also with F&amp;B concepts, hospitality technology, and tourism service companies entering the Gulf?|All hospitality categories.",</w:t>
      </w:r>
    </w:p>
    <w:p>
      <w:pPr>
        <w:shd w:fill="F0F0F0" w:val="clear"/>
        <w:spacing w:after="14" w:before="14"/>
        <w:ind w:left="360"/>
      </w:pPr>
      <w:r>
        <w:rPr>
          <w:rFonts w:ascii="Courier New" w:cs="Courier New" w:eastAsia="Courier New" w:hAnsi="Courier New"/>
          <w:color w:val="1B2A4A"/>
          <w:sz w:val="16"/>
          <w:szCs w:val="16"/>
        </w:rPr>
        <w:t xml:space="preserve">      "Which Gulf hospitality markets does GreyRadius prioritise?|Saudi Arabia for the largest development opportunity, UAE for established tourism infrastructure, Qatar for MICE and events.",</w:t>
      </w:r>
    </w:p>
    <w:p>
      <w:pPr>
        <w:shd w:fill="F0F0F0" w:val="clear"/>
        <w:spacing w:after="14" w:before="14"/>
        <w:ind w:left="360"/>
      </w:pPr>
      <w:r>
        <w:rPr>
          <w:rFonts w:ascii="Courier New" w:cs="Courier New" w:eastAsia="Courier New" w:hAnsi="Courier New"/>
          <w:color w:val="1B2A4A"/>
          <w:sz w:val="16"/>
          <w:szCs w:val="16"/>
        </w:rPr>
        <w:t xml:space="preserve">      "How long does a Gulf hospitality market entry engagement take?|Typically 8–12 weeks for guest demand research, licensing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Saudi hospitality development opportunity contacts?|Yes — Red Sea Project, NEOM, and Diriyah authority mapping are part of our Saudi hospitality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hospitality market entry, Saudi Arabia hotel GTM strategy, UAE tourism consulting, Gulf hotel technology advisory, GCC hospitality market entry, Saudi Arabia Red Sea hospitality",</w:t>
      </w:r>
    </w:p>
    <w:p>
      <w:pPr>
        <w:shd w:fill="F0F0F0" w:val="clear"/>
        <w:spacing w:after="14" w:before="14"/>
        <w:ind w:left="360"/>
      </w:pPr>
      <w:r>
        <w:rPr>
          <w:rFonts w:ascii="Courier New" w:cs="Courier New" w:eastAsia="Courier New" w:hAnsi="Courier New"/>
          <w:color w:val="1B2A4A"/>
          <w:sz w:val="16"/>
          <w:szCs w:val="16"/>
        </w:rPr>
        <w:t xml:space="preserve">    "regions": "Saudi Arabia — Red Sea Project, NEOM, Diriyah, Riyadh; UAE — Dubai and Abu Dhabi; Qatar — Doha",</w:t>
      </w:r>
    </w:p>
    <w:p>
      <w:pPr>
        <w:shd w:fill="F0F0F0" w:val="clear"/>
        <w:spacing w:after="14" w:before="14"/>
        <w:ind w:left="360"/>
      </w:pPr>
      <w:r>
        <w:rPr>
          <w:rFonts w:ascii="Courier New" w:cs="Courier New" w:eastAsia="Courier New" w:hAnsi="Courier New"/>
          <w:color w:val="1B2A4A"/>
          <w:sz w:val="16"/>
          <w:szCs w:val="16"/>
        </w:rPr>
        <w:t xml:space="preserve">    "stat1n": "$75B",</w:t>
      </w:r>
    </w:p>
    <w:p>
      <w:pPr>
        <w:shd w:fill="F0F0F0" w:val="clear"/>
        <w:spacing w:after="14" w:before="14"/>
        <w:ind w:left="360"/>
      </w:pPr>
      <w:r>
        <w:rPr>
          <w:rFonts w:ascii="Courier New" w:cs="Courier New" w:eastAsia="Courier New" w:hAnsi="Courier New"/>
          <w:color w:val="1B2A4A"/>
          <w:sz w:val="16"/>
          <w:szCs w:val="16"/>
        </w:rPr>
        <w:t xml:space="preserve">    "stat1l": "Gulf hospitality market by 2028",</w:t>
      </w:r>
    </w:p>
    <w:p>
      <w:pPr>
        <w:shd w:fill="F0F0F0" w:val="clear"/>
        <w:spacing w:after="14" w:before="14"/>
        <w:ind w:left="360"/>
      </w:pPr>
      <w:r>
        <w:rPr>
          <w:rFonts w:ascii="Courier New" w:cs="Courier New" w:eastAsia="Courier New" w:hAnsi="Courier New"/>
          <w:color w:val="1B2A4A"/>
          <w:sz w:val="16"/>
          <w:szCs w:val="16"/>
        </w:rPr>
        <w:t xml:space="preserve">    "stat1b": "Growing at 15% annually as Saudi Arabia's tourism targets, UAE's sustained leadership, and Qatar's event tourism all scale.",</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hospitality mandate",</w:t>
      </w:r>
    </w:p>
    <w:p>
      <w:pPr>
        <w:shd w:fill="F0F0F0" w:val="clear"/>
        <w:spacing w:after="14" w:before="14"/>
        <w:ind w:left="360"/>
      </w:pPr>
      <w:r>
        <w:rPr>
          <w:rFonts w:ascii="Courier New" w:cs="Courier New" w:eastAsia="Courier New" w:hAnsi="Courier New"/>
          <w:color w:val="1B2A4A"/>
          <w:sz w:val="16"/>
          <w:szCs w:val="16"/>
        </w:rPr>
        <w:t xml:space="preserve">    "stat2b": "Gulf hotel operators, tourism board officials, and hospitality technology buyers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hospitality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tourism demand mapping and hospitality partner identification delivers Gulf hospitality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"india-media-entertainment",</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"media-entertainment",</w:t>
      </w:r>
    </w:p>
    <w:p>
      <w:pPr>
        <w:shd w:fill="F0F0F0" w:val="clear"/>
        <w:spacing w:after="14" w:before="14"/>
        <w:ind w:left="360"/>
      </w:pPr>
      <w:r>
        <w:rPr>
          <w:rFonts w:ascii="Courier New" w:cs="Courier New" w:eastAsia="Courier New" w:hAnsi="Courier New"/>
          <w:color w:val="1B2A4A"/>
          <w:sz w:val="16"/>
          <w:szCs w:val="16"/>
        </w:rPr>
        <w:t xml:space="preserve">    "title": "India Media &amp; Entertainment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media companies, streaming platforms, gaming businesses, and entertainment technology providers enter India with market entry strategy, regulatory mapping, and GTM execution.",</w:t>
      </w:r>
    </w:p>
    <w:p>
      <w:pPr>
        <w:shd w:fill="F0F0F0" w:val="clear"/>
        <w:spacing w:after="14" w:before="14"/>
        <w:ind w:left="360"/>
      </w:pPr>
      <w:r>
        <w:rPr>
          <w:rFonts w:ascii="Courier New" w:cs="Courier New" w:eastAsia="Courier New" w:hAnsi="Courier New"/>
          <w:color w:val="1B2A4A"/>
          <w:sz w:val="16"/>
          <w:szCs w:val="16"/>
        </w:rPr>
        <w:t xml:space="preserve">    "h1": "India media and entertainment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content to Indian audience — strategy for media and entertainment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media and entertainment market is one of the world's most dynamic and fastest-growing — with 850 million smartphone users, the world's largest film industry by ticket volume, 500 million OTT subscribers projected by 2025, a gaming market growing at 28% annually, and a creator economy producing millions of content creators across YouTube, Instagram, and emerging platforms. International streaming platforms, gaming companies, media technology businesses, content production houses, and entertainment brands are all evaluating India as a priority market. GreyRadius helps media and entertainment companies validate Indian audience demand, navigate regulatory requirements, identify distribution partners, and execute entry.",</w:t>
      </w:r>
    </w:p>
    <w:p>
      <w:pPr>
        <w:shd w:fill="F0F0F0" w:val="clear"/>
        <w:spacing w:after="14" w:before="14"/>
        <w:ind w:left="360"/>
      </w:pPr>
      <w:r>
        <w:rPr>
          <w:rFonts w:ascii="Courier New" w:cs="Courier New" w:eastAsia="Courier New" w:hAnsi="Courier New"/>
          <w:color w:val="1B2A4A"/>
          <w:sz w:val="16"/>
          <w:szCs w:val="16"/>
        </w:rPr>
        <w:t xml:space="preserve">    "market_timing": "India's OTT market is growing at 25% annually — with Netflix, Disney+ Hotstar, Amazon Prime Video, JioCinema, and dozens of regional streaming platforms all competing for India's 850 million smartphone users. India's gaming market is projected to reach $8B by 2027 creating the world's most significant mobile gaming opportunity after China. The entertainment companies establishing Indian audience relationships in 2024–2027 will build engagement flywheels that are hard to displace.",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media and entertainment market is projected to reach $70B by 2027 — growing at 10% annually with digital media, gaming, and live entertainment growing significantly faster than traditional media.",</w:t>
      </w:r>
    </w:p>
    <w:p>
      <w:pPr>
        <w:shd w:fill="F0F0F0" w:val="clear"/>
        <w:spacing w:after="14" w:before="14"/>
        <w:ind w:left="360"/>
      </w:pPr>
      <w:r>
        <w:rPr>
          <w:rFonts w:ascii="Courier New" w:cs="Courier New" w:eastAsia="Courier New" w:hAnsi="Courier New"/>
          <w:color w:val="1B2A4A"/>
          <w:sz w:val="16"/>
          <w:szCs w:val="16"/>
        </w:rPr>
        <w:t xml:space="preserve">      "India has 500M+ OTT subscribers across platforms — making it the world's second-largest OTT market by subscriber count and the most price-sensitive large OTT market globally.",</w:t>
      </w:r>
    </w:p>
    <w:p>
      <w:pPr>
        <w:shd w:fill="F0F0F0" w:val="clear"/>
        <w:spacing w:after="14" w:before="14"/>
        <w:ind w:left="360"/>
      </w:pPr>
      <w:r>
        <w:rPr>
          <w:rFonts w:ascii="Courier New" w:cs="Courier New" w:eastAsia="Courier New" w:hAnsi="Courier New"/>
          <w:color w:val="1B2A4A"/>
          <w:sz w:val="16"/>
          <w:szCs w:val="16"/>
        </w:rPr>
        <w:t xml:space="preserve">      "India's gaming market is growing at 28% annually — 500 million gamers across mobile, PC, and console platforms with e-sports growing at 35%+ creating significant gaming company opportunity.",</w:t>
      </w:r>
    </w:p>
    <w:p>
      <w:pPr>
        <w:shd w:fill="F0F0F0" w:val="clear"/>
        <w:spacing w:after="14" w:before="14"/>
        <w:ind w:left="360"/>
      </w:pPr>
      <w:r>
        <w:rPr>
          <w:rFonts w:ascii="Courier New" w:cs="Courier New" w:eastAsia="Courier New" w:hAnsi="Courier New"/>
          <w:color w:val="1B2A4A"/>
          <w:sz w:val="16"/>
          <w:szCs w:val="16"/>
        </w:rPr>
        <w:t xml:space="preserve">      "India's creator economy has produced 100M+ content creators — YouTube, Instagram, and emerging platforms all have enormous Indian creator communities that brands can access for content marketing."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 content price sensitivity is extreme — Indian OTT consumers are accustomed to paying Rs 149–499 per month for bundled content requiring significant pricing adaptation from international content companies.",</w:t>
      </w:r>
    </w:p>
    <w:p>
      <w:pPr>
        <w:shd w:fill="F0F0F0" w:val="clear"/>
        <w:spacing w:after="14" w:before="14"/>
        <w:ind w:left="360"/>
      </w:pPr>
      <w:r>
        <w:rPr>
          <w:rFonts w:ascii="Courier New" w:cs="Courier New" w:eastAsia="Courier New" w:hAnsi="Courier New"/>
          <w:color w:val="1B2A4A"/>
          <w:sz w:val="16"/>
          <w:szCs w:val="16"/>
        </w:rPr>
        <w:t xml:space="preserve">      "Language diversity requires regional content — Hindi content reaches 45% of India, Tamil, Telugu, Malayalam, and Kannada content each required for South India, and Bengali for East India.",</w:t>
      </w:r>
    </w:p>
    <w:p>
      <w:pPr>
        <w:shd w:fill="F0F0F0" w:val="clear"/>
        <w:spacing w:after="14" w:before="14"/>
        <w:ind w:left="360"/>
      </w:pPr>
      <w:r>
        <w:rPr>
          <w:rFonts w:ascii="Courier New" w:cs="Courier New" w:eastAsia="Courier New" w:hAnsi="Courier New"/>
          <w:color w:val="1B2A4A"/>
          <w:sz w:val="16"/>
          <w:szCs w:val="16"/>
        </w:rPr>
        <w:t xml:space="preserve">      "Regulatory requirements for broadcasting and digital content are evolving — MIB broadcast regulations, OTT content classification, and gaming regulatory frameworks are all developing in India.",</w:t>
      </w:r>
    </w:p>
    <w:p>
      <w:pPr>
        <w:shd w:fill="F0F0F0" w:val="clear"/>
        <w:spacing w:after="14" w:before="14"/>
        <w:ind w:left="360"/>
      </w:pPr>
      <w:r>
        <w:rPr>
          <w:rFonts w:ascii="Courier New" w:cs="Courier New" w:eastAsia="Courier New" w:hAnsi="Courier New"/>
          <w:color w:val="1B2A4A"/>
          <w:sz w:val="16"/>
          <w:szCs w:val="16"/>
        </w:rPr>
        <w:t xml:space="preserve">      "Competition from established Indian platforms — JioCinema, Zee5, SonyLIV, and regional language OTTs — is intense with deep content libraries and local talent relationships."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media and entertainment demand validation|You need to validate Indian audience interest in your content, gaming, or entertainment product and what pricing, language, and format requirements apply.",</w:t>
      </w:r>
    </w:p>
    <w:p>
      <w:pPr>
        <w:shd w:fill="F0F0F0" w:val="clear"/>
        <w:spacing w:after="14" w:before="14"/>
        <w:ind w:left="360"/>
      </w:pPr>
      <w:r>
        <w:rPr>
          <w:rFonts w:ascii="Courier New" w:cs="Courier New" w:eastAsia="Courier New" w:hAnsi="Courier New"/>
          <w:color w:val="1B2A4A"/>
          <w:sz w:val="16"/>
          <w:szCs w:val="16"/>
        </w:rPr>
        <w:t xml:space="preserve">      "MIB and content regulatory pathway|You need to understand broadcasting licensing, OTT content classification, and gaming regulatory requirements in India.",</w:t>
      </w:r>
    </w:p>
    <w:p>
      <w:pPr>
        <w:shd w:fill="F0F0F0" w:val="clear"/>
        <w:spacing w:after="14" w:before="14"/>
        <w:ind w:left="360"/>
      </w:pPr>
      <w:r>
        <w:rPr>
          <w:rFonts w:ascii="Courier New" w:cs="Courier New" w:eastAsia="Courier New" w:hAnsi="Courier New"/>
          <w:color w:val="1B2A4A"/>
          <w:sz w:val="16"/>
          <w:szCs w:val="16"/>
        </w:rPr>
        <w:t xml:space="preserve">      "India media distribution partner identification|You need telecom operator bundle partners, OTT aggregators, and gaming distribution platforms as distribution channels.",</w:t>
      </w:r>
    </w:p>
    <w:p>
      <w:pPr>
        <w:shd w:fill="F0F0F0" w:val="clear"/>
        <w:spacing w:after="14" w:before="14"/>
        <w:ind w:left="360"/>
      </w:pPr>
      <w:r>
        <w:rPr>
          <w:rFonts w:ascii="Courier New" w:cs="Courier New" w:eastAsia="Courier New" w:hAnsi="Courier New"/>
          <w:color w:val="1B2A4A"/>
          <w:sz w:val="16"/>
          <w:szCs w:val="16"/>
        </w:rPr>
        <w:t xml:space="preserve">      "India media GTM strategy|You need a go-to-market plan covering content marketing, creator partnerships, and digital audience acquisition tailored for India.",</w:t>
      </w:r>
    </w:p>
    <w:p>
      <w:pPr>
        <w:shd w:fill="F0F0F0" w:val="clear"/>
        <w:spacing w:after="14" w:before="14"/>
        <w:ind w:left="360"/>
      </w:pPr>
      <w:r>
        <w:rPr>
          <w:rFonts w:ascii="Courier New" w:cs="Courier New" w:eastAsia="Courier New" w:hAnsi="Courier New"/>
          <w:color w:val="1B2A4A"/>
          <w:sz w:val="16"/>
          <w:szCs w:val="16"/>
        </w:rPr>
        <w:t xml:space="preserve">      "Raising capital for India media investment|You need a pitch book grounded in India media market data and audience growth analysis.",</w:t>
      </w:r>
    </w:p>
    <w:p>
      <w:pPr>
        <w:shd w:fill="F0F0F0" w:val="clear"/>
        <w:spacing w:after="14" w:before="14"/>
        <w:ind w:left="360"/>
      </w:pPr>
      <w:r>
        <w:rPr>
          <w:rFonts w:ascii="Courier New" w:cs="Courier New" w:eastAsia="Courier New" w:hAnsi="Courier New"/>
          <w:color w:val="1B2A4A"/>
          <w:sz w:val="16"/>
          <w:szCs w:val="16"/>
        </w:rPr>
        <w:t xml:space="preserve">      "Content localisation strategy|You need a Hindi and regional language content localisation roadmap that prioritises highest-audience-reach languages first."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audience demand for your media or entertainment product with consumer research and platform landscape analysis.",</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media investment covering content localisation cost and distribution economics.",</w:t>
      </w:r>
    </w:p>
    <w:p>
      <w:pPr>
        <w:shd w:fill="F0F0F0" w:val="clear"/>
        <w:spacing w:after="14" w:before="14"/>
        <w:ind w:left="360"/>
      </w:pPr>
      <w:r>
        <w:rPr>
          <w:rFonts w:ascii="Courier New" w:cs="Courier New" w:eastAsia="Courier New" w:hAnsi="Courier New"/>
          <w:color w:val="1B2A4A"/>
          <w:sz w:val="16"/>
          <w:szCs w:val="16"/>
        </w:rPr>
        <w:t xml:space="preserve">      "End-to-end India media market entry including regulatory pathway, distribution partner identification, and first-audience milestone.",</w:t>
      </w:r>
    </w:p>
    <w:p>
      <w:pPr>
        <w:shd w:fill="F0F0F0" w:val="clear"/>
        <w:spacing w:after="14" w:before="14"/>
        <w:ind w:left="360"/>
      </w:pPr>
      <w:r>
        <w:rPr>
          <w:rFonts w:ascii="Courier New" w:cs="Courier New" w:eastAsia="Courier New" w:hAnsi="Courier New"/>
          <w:color w:val="1B2A4A"/>
          <w:sz w:val="16"/>
          <w:szCs w:val="16"/>
        </w:rPr>
        <w:t xml:space="preserve">      "Embedded India media GTM team covering telecom bundle, OTT aggregator, and creator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media investment with audience growth narrative and market sizing.",</w:t>
      </w:r>
    </w:p>
    <w:p>
      <w:pPr>
        <w:shd w:fill="F0F0F0" w:val="clear"/>
        <w:spacing w:after="14" w:before="14"/>
        <w:ind w:left="360"/>
      </w:pPr>
      <w:r>
        <w:rPr>
          <w:rFonts w:ascii="Courier New" w:cs="Courier New" w:eastAsia="Courier New" w:hAnsi="Courier New"/>
          <w:color w:val="1B2A4A"/>
          <w:sz w:val="16"/>
          <w:szCs w:val="16"/>
        </w:rPr>
        <w:t xml:space="preserve">      "AI use-case identification — from Hindi and regional language content recommendation to Indian audience behaviour prediction and creator partner matching."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streaming platforms or also with gaming, music, and live entertainment companies entering India?|All media and entertainment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media market entry engagement take?|Typically 6–10 weeks for audience demand research, regulatory mapping,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telecom bundle and OTT aggregator distribution partners for media companies?|Yes — telecom and platform distribution partner identification are core to our India media market entry service.",</w:t>
      </w:r>
    </w:p>
    <w:p>
      <w:pPr>
        <w:shd w:fill="F0F0F0" w:val="clear"/>
        <w:spacing w:after="14" w:before="14"/>
        <w:ind w:left="360"/>
      </w:pPr>
      <w:r>
        <w:rPr>
          <w:rFonts w:ascii="Courier New" w:cs="Courier New" w:eastAsia="Courier New" w:hAnsi="Courier New"/>
          <w:color w:val="1B2A4A"/>
          <w:sz w:val="16"/>
          <w:szCs w:val="16"/>
        </w:rPr>
        <w:t xml:space="preserve">      "What is the right India OTT pricing strategy for international streaming companies?|India requires a dedicated India price tier at 20–30% of global pricing — we develop the India pricing strategy as part of every OTT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media market entry, India OTT GTM strategy, India gaming consulting, India entertainment advisory, India streaming market entry, India media and entertainment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plus Hindi, Tamil, Telugu, Malayalam, and Bengali content markets",</w:t>
      </w:r>
    </w:p>
    <w:p>
      <w:pPr>
        <w:shd w:fill="F0F0F0" w:val="clear"/>
        <w:spacing w:after="14" w:before="14"/>
        <w:ind w:left="360"/>
      </w:pPr>
      <w:r>
        <w:rPr>
          <w:rFonts w:ascii="Courier New" w:cs="Courier New" w:eastAsia="Courier New" w:hAnsi="Courier New"/>
          <w:color w:val="1B2A4A"/>
          <w:sz w:val="16"/>
          <w:szCs w:val="16"/>
        </w:rPr>
        <w:t xml:space="preserve">    "stat1n": "$70B",</w:t>
      </w:r>
    </w:p>
    <w:p>
      <w:pPr>
        <w:shd w:fill="F0F0F0" w:val="clear"/>
        <w:spacing w:after="14" w:before="14"/>
        <w:ind w:left="360"/>
      </w:pPr>
      <w:r>
        <w:rPr>
          <w:rFonts w:ascii="Courier New" w:cs="Courier New" w:eastAsia="Courier New" w:hAnsi="Courier New"/>
          <w:color w:val="1B2A4A"/>
          <w:sz w:val="16"/>
          <w:szCs w:val="16"/>
        </w:rPr>
        <w:t xml:space="preserve">    "stat1l": "India media and entertainment market by 2027",</w:t>
      </w:r>
    </w:p>
    <w:p>
      <w:pPr>
        <w:shd w:fill="F0F0F0" w:val="clear"/>
        <w:spacing w:after="14" w:before="14"/>
        <w:ind w:left="360"/>
      </w:pPr>
      <w:r>
        <w:rPr>
          <w:rFonts w:ascii="Courier New" w:cs="Courier New" w:eastAsia="Courier New" w:hAnsi="Courier New"/>
          <w:color w:val="1B2A4A"/>
          <w:sz w:val="16"/>
          <w:szCs w:val="16"/>
        </w:rPr>
        <w:t xml:space="preserve">    "stat1b": "Digital media, gaming, and live entertainment growing significantly faster than traditional media across 850 million smartphone users.",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media mandate",</w:t>
      </w:r>
    </w:p>
    <w:p>
      <w:pPr>
        <w:shd w:fill="F0F0F0" w:val="clear"/>
        <w:spacing w:after="14" w:before="14"/>
        <w:ind w:left="360"/>
      </w:pPr>
      <w:r>
        <w:rPr>
          <w:rFonts w:ascii="Courier New" w:cs="Courier New" w:eastAsia="Courier New" w:hAnsi="Courier New"/>
          <w:color w:val="1B2A4A"/>
          <w:sz w:val="16"/>
          <w:szCs w:val="16"/>
        </w:rPr>
        <w:t xml:space="preserve">    "stat2b": "Indian consumers, platform managers, and content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media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audience demand mapping and platform analysis delivers India media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"gulf-b2b-services",</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"enterprise-saas",</w:t>
      </w:r>
    </w:p>
    <w:p>
      <w:pPr>
        <w:shd w:fill="F0F0F0" w:val="clear"/>
        <w:spacing w:after="14" w:before="14"/>
        <w:ind w:left="360"/>
      </w:pPr>
      <w:r>
        <w:rPr>
          <w:rFonts w:ascii="Courier New" w:cs="Courier New" w:eastAsia="Courier New" w:hAnsi="Courier New"/>
          <w:color w:val="1B2A4A"/>
          <w:sz w:val="16"/>
          <w:szCs w:val="16"/>
        </w:rPr>
        <w:t xml:space="preserve">    "title": "Gulf B2B Professional Services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B2B professional services firms enter Gulf markets with market entry strategy, government programme mapping, regulatory requirements, and local partner identification.",</w:t>
      </w:r>
    </w:p>
    <w:p>
      <w:pPr>
        <w:shd w:fill="F0F0F0" w:val="clear"/>
        <w:spacing w:after="14" w:before="14"/>
        <w:ind w:left="360"/>
      </w:pPr>
      <w:r>
        <w:rPr>
          <w:rFonts w:ascii="Courier New" w:cs="Courier New" w:eastAsia="Courier New" w:hAnsi="Courier New"/>
          <w:color w:val="1B2A4A"/>
          <w:sz w:val="16"/>
          <w:szCs w:val="16"/>
        </w:rPr>
        <w:t xml:space="preserve">    "h1": "Gulf B2B professional services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service firm to Gulf enterprise client — strategy for B2B services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B2B professional services market is growing at extraordinary speed — driven by Vision 2030 transformation creating demand for management consulting, legal services, accounting, HR, marketing, and technology services, and Gulf enterprises increasingly seeking international-quality service providers to support their development. International management consulting firms, legal practices, accounting businesses, HR consultancies, marketing agencies, and technology service companies are all evaluating Gulf B2B market entry. GreyRadius helps professional service firms validate Gulf enterprise demand, navigate professional licensing requirements, identify local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Vision 2030 implementation is creating the world's most active management consulting and professional services procurement market — government entities, PIF portfolio companies, and private sector Vision 2030 programme participants are all procuring international-quality services. UAE's position as a global business hub creates sustained professional services demand from 40,000+ multinational companies operating in the country.",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professional services market is projected to reach $50B by 2028 — growing at 12% annually as Vision 2030 procurement, financial services growth, and technology sector expansion all drive demand.",</w:t>
      </w:r>
    </w:p>
    <w:p>
      <w:pPr>
        <w:shd w:fill="F0F0F0" w:val="clear"/>
        <w:spacing w:after="14" w:before="14"/>
        <w:ind w:left="360"/>
      </w:pPr>
      <w:r>
        <w:rPr>
          <w:rFonts w:ascii="Courier New" w:cs="Courier New" w:eastAsia="Courier New" w:hAnsi="Courier New"/>
          <w:color w:val="1B2A4A"/>
          <w:sz w:val="16"/>
          <w:szCs w:val="16"/>
        </w:rPr>
        <w:t xml:space="preserve">      "Big Four accounting firms have all expanded significantly in Saudi Arabia and UAE — but mid-market and specialist professional services firms have significant white space in Gulf markets.",</w:t>
      </w:r>
    </w:p>
    <w:p>
      <w:pPr>
        <w:shd w:fill="F0F0F0" w:val="clear"/>
        <w:spacing w:after="14" w:before="14"/>
        <w:ind w:left="360"/>
      </w:pPr>
      <w:r>
        <w:rPr>
          <w:rFonts w:ascii="Courier New" w:cs="Courier New" w:eastAsia="Courier New" w:hAnsi="Courier New"/>
          <w:color w:val="1B2A4A"/>
          <w:sz w:val="16"/>
          <w:szCs w:val="16"/>
        </w:rPr>
        <w:t xml:space="preserve">      "Saudi Arabia's ICV programme requires international service firms to establish Saudi-staffed operations — creating a Saudisation compliance requirement that is also a business development opportunity.",</w:t>
      </w:r>
    </w:p>
    <w:p>
      <w:pPr>
        <w:shd w:fill="F0F0F0" w:val="clear"/>
        <w:spacing w:after="14" w:before="14"/>
        <w:ind w:left="360"/>
      </w:pPr>
      <w:r>
        <w:rPr>
          <w:rFonts w:ascii="Courier New" w:cs="Courier New" w:eastAsia="Courier New" w:hAnsi="Courier New"/>
          <w:color w:val="1B2A4A"/>
          <w:sz w:val="16"/>
          <w:szCs w:val="16"/>
        </w:rPr>
        <w:t xml:space="preserve">      "Gulf family business succession planning is creating significant demand for governance, legal, and financial advisory services as second and third generations take operational control."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"Professional licensing requirements vary across Gulf markets — law firm licensing, accounting firm registration, and consulting firm requirements differ across UAE free zones, mainland, and Saudi Arabia.",</w:t>
      </w:r>
    </w:p>
    <w:p>
      <w:pPr>
        <w:shd w:fill="F0F0F0" w:val="clear"/>
        <w:spacing w:after="14" w:before="14"/>
        <w:ind w:left="360"/>
      </w:pPr>
      <w:r>
        <w:rPr>
          <w:rFonts w:ascii="Courier New" w:cs="Courier New" w:eastAsia="Courier New" w:hAnsi="Courier New"/>
          <w:color w:val="1B2A4A"/>
          <w:sz w:val="16"/>
          <w:szCs w:val="16"/>
        </w:rPr>
        <w:t xml:space="preserve">      "Gulf B2B service procurement is heavily relationship-driven — decisions at government entities and large enterprises involve senior relationships that take sustained investment to develop.",</w:t>
      </w:r>
    </w:p>
    <w:p>
      <w:pPr>
        <w:shd w:fill="F0F0F0" w:val="clear"/>
        <w:spacing w:after="14" w:before="14"/>
        <w:ind w:left="360"/>
      </w:pPr>
      <w:r>
        <w:rPr>
          <w:rFonts w:ascii="Courier New" w:cs="Courier New" w:eastAsia="Courier New" w:hAnsi="Courier New"/>
          <w:color w:val="1B2A4A"/>
          <w:sz w:val="16"/>
          <w:szCs w:val="16"/>
        </w:rPr>
        <w:t xml:space="preserve">      "Saudisation and Emiratisation requirements affect professional service firm hiring — minimum national employment percentages affect staffing cost structures significantly.",</w:t>
      </w:r>
    </w:p>
    <w:p>
      <w:pPr>
        <w:shd w:fill="F0F0F0" w:val="clear"/>
        <w:spacing w:after="14" w:before="14"/>
        <w:ind w:left="360"/>
      </w:pPr>
      <w:r>
        <w:rPr>
          <w:rFonts w:ascii="Courier New" w:cs="Courier New" w:eastAsia="Courier New" w:hAnsi="Courier New"/>
          <w:color w:val="1B2A4A"/>
          <w:sz w:val="16"/>
          <w:szCs w:val="16"/>
        </w:rPr>
        <w:t xml:space="preserve">      "Competition from established global professional service firms with Gulf track records — McKinsey, BCG, Deloitte, PwC, and Allen &amp; Overy — is intense across advisory, audit, and legal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B2B professional services demand validation|You need to validate Gulf enterprise and government demand for your professional services and which sectors and buyer types are most accessible.",</w:t>
      </w:r>
    </w:p>
    <w:p>
      <w:pPr>
        <w:shd w:fill="F0F0F0" w:val="clear"/>
        <w:spacing w:after="14" w:before="14"/>
        <w:ind w:left="360"/>
      </w:pPr>
      <w:r>
        <w:rPr>
          <w:rFonts w:ascii="Courier New" w:cs="Courier New" w:eastAsia="Courier New" w:hAnsi="Courier New"/>
          <w:color w:val="1B2A4A"/>
          <w:sz w:val="16"/>
          <w:szCs w:val="16"/>
        </w:rPr>
        <w:t xml:space="preserve">      "Professional licensing and regulatory pathway|You need to understand professional firm licensing, free zone versus mainland structure, and Saudisation requirements for your service category.",</w:t>
      </w:r>
    </w:p>
    <w:p>
      <w:pPr>
        <w:shd w:fill="F0F0F0" w:val="clear"/>
        <w:spacing w:after="14" w:before="14"/>
        <w:ind w:left="360"/>
      </w:pPr>
      <w:r>
        <w:rPr>
          <w:rFonts w:ascii="Courier New" w:cs="Courier New" w:eastAsia="Courier New" w:hAnsi="Courier New"/>
          <w:color w:val="1B2A4A"/>
          <w:sz w:val="16"/>
          <w:szCs w:val="16"/>
        </w:rPr>
        <w:t xml:space="preserve">      "Gulf B2B partner identification|You need local Gulf partners, joint venture candidates, or senior relationship development targets in government and enterprise sectors.",</w:t>
      </w:r>
    </w:p>
    <w:p>
      <w:pPr>
        <w:shd w:fill="F0F0F0" w:val="clear"/>
        <w:spacing w:after="14" w:before="14"/>
        <w:ind w:left="360"/>
      </w:pPr>
      <w:r>
        <w:rPr>
          <w:rFonts w:ascii="Courier New" w:cs="Courier New" w:eastAsia="Courier New" w:hAnsi="Courier New"/>
          <w:color w:val="1B2A4A"/>
          <w:sz w:val="16"/>
          <w:szCs w:val="16"/>
        </w:rPr>
        <w:t xml:space="preserve">      "Gulf B2B GTM strategy|You need a UAE-first go-to-market plan for professional services with Saudi Arabia expansion sequencing and relationship development approach.",</w:t>
      </w:r>
    </w:p>
    <w:p>
      <w:pPr>
        <w:shd w:fill="F0F0F0" w:val="clear"/>
        <w:spacing w:after="14" w:before="14"/>
        <w:ind w:left="360"/>
      </w:pPr>
      <w:r>
        <w:rPr>
          <w:rFonts w:ascii="Courier New" w:cs="Courier New" w:eastAsia="Courier New" w:hAnsi="Courier New"/>
          <w:color w:val="1B2A4A"/>
          <w:sz w:val="16"/>
          <w:szCs w:val="16"/>
        </w:rPr>
        <w:t xml:space="preserve">      "Raising capital or securing investment for Gulf expansion|You need a business case grounded in Gulf professional services market data for internal or external investors.",</w:t>
      </w:r>
    </w:p>
    <w:p>
      <w:pPr>
        <w:shd w:fill="F0F0F0" w:val="clear"/>
        <w:spacing w:after="14" w:before="14"/>
        <w:ind w:left="360"/>
      </w:pPr>
      <w:r>
        <w:rPr>
          <w:rFonts w:ascii="Courier New" w:cs="Courier New" w:eastAsia="Courier New" w:hAnsi="Courier New"/>
          <w:color w:val="1B2A4A"/>
          <w:sz w:val="16"/>
          <w:szCs w:val="16"/>
        </w:rPr>
        <w:t xml:space="preserve">      "Government and PIF portfolio company programme access|You need to identify Vision 2030 programme procurement and PIF portfolio company advisory opportunities."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enterprise and government demand for your professional services with primary research across target buyer segments.",</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professional services investment covering licensing cost and Saudisation compliance.",</w:t>
      </w:r>
    </w:p>
    <w:p>
      <w:pPr>
        <w:shd w:fill="F0F0F0" w:val="clear"/>
        <w:spacing w:after="14" w:before="14"/>
        <w:ind w:left="360"/>
      </w:pPr>
      <w:r>
        <w:rPr>
          <w:rFonts w:ascii="Courier New" w:cs="Courier New" w:eastAsia="Courier New" w:hAnsi="Courier New"/>
          <w:color w:val="1B2A4A"/>
          <w:sz w:val="16"/>
          <w:szCs w:val="16"/>
        </w:rPr>
        <w:t xml:space="preserve">      "End-to-end Gulf B2B market entry including regulatory pathway, local partner identification, and first-client acquisition milestone.",</w:t>
      </w:r>
    </w:p>
    <w:p>
      <w:pPr>
        <w:shd w:fill="F0F0F0" w:val="clear"/>
        <w:spacing w:after="14" w:before="14"/>
        <w:ind w:left="360"/>
      </w:pPr>
      <w:r>
        <w:rPr>
          <w:rFonts w:ascii="Courier New" w:cs="Courier New" w:eastAsia="Courier New" w:hAnsi="Courier New"/>
          <w:color w:val="1B2A4A"/>
          <w:sz w:val="16"/>
          <w:szCs w:val="16"/>
        </w:rPr>
        <w:t xml:space="preserve">      "Embedded Gulf B2B GTM team covering government and enterprise relationship development.",</w:t>
      </w:r>
    </w:p>
    <w:p>
      <w:pPr>
        <w:shd w:fill="F0F0F0" w:val="clear"/>
        <w:spacing w:after="14" w:before="14"/>
        <w:ind w:left="360"/>
      </w:pPr>
      <w:r>
        <w:rPr>
          <w:rFonts w:ascii="Courier New" w:cs="Courier New" w:eastAsia="Courier New" w:hAnsi="Courier New"/>
          <w:color w:val="1B2A4A"/>
          <w:sz w:val="16"/>
          <w:szCs w:val="16"/>
        </w:rPr>
        <w:t xml:space="preserve">      "Investor-ready pitch books or internal business cases for Gulf professional services expansion.",</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client communication to Gulf regulatory compliance monitoring."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management consulting firms or also with legal, accounting, HR, and marketing service companies entering the Gulf?|All B2B professional service categories.",</w:t>
      </w:r>
    </w:p>
    <w:p>
      <w:pPr>
        <w:shd w:fill="F0F0F0" w:val="clear"/>
        <w:spacing w:after="14" w:before="14"/>
        <w:ind w:left="360"/>
      </w:pPr>
      <w:r>
        <w:rPr>
          <w:rFonts w:ascii="Courier New" w:cs="Courier New" w:eastAsia="Courier New" w:hAnsi="Courier New"/>
          <w:color w:val="1B2A4A"/>
          <w:sz w:val="16"/>
          <w:szCs w:val="16"/>
        </w:rPr>
        <w:t xml:space="preserve">      "Which Gulf B2B markets does GreyRadius prioritise?|UAE first for accessibility and established multinational client base, then Saudi Arabia for Vision 2030 programme procurement.",</w:t>
      </w:r>
    </w:p>
    <w:p>
      <w:pPr>
        <w:shd w:fill="F0F0F0" w:val="clear"/>
        <w:spacing w:after="14" w:before="14"/>
        <w:ind w:left="360"/>
      </w:pPr>
      <w:r>
        <w:rPr>
          <w:rFonts w:ascii="Courier New" w:cs="Courier New" w:eastAsia="Courier New" w:hAnsi="Courier New"/>
          <w:color w:val="1B2A4A"/>
          <w:sz w:val="16"/>
          <w:szCs w:val="16"/>
        </w:rPr>
        <w:t xml:space="preserve">      "How long does a Gulf B2B professional services engagement take?|Typically 8–12 weeks for demand research, licensing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Gulf local partners for professional service firms?|Yes — local partner and JV candidate identification are core to our Gulf B2B professional services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professional services market entry, UAE consulting GTM strategy, Saudi Arabia advisory firm entry, Gulf B2B services consulting, GCC professional services market entry",</w:t>
      </w:r>
    </w:p>
    <w:p>
      <w:pPr>
        <w:shd w:fill="F0F0F0" w:val="clear"/>
        <w:spacing w:after="14" w:before="14"/>
        <w:ind w:left="360"/>
      </w:pPr>
      <w:r>
        <w:rPr>
          <w:rFonts w:ascii="Courier New" w:cs="Courier New" w:eastAsia="Courier New" w:hAnsi="Courier New"/>
          <w:color w:val="1B2A4A"/>
          <w:sz w:val="16"/>
          <w:szCs w:val="16"/>
        </w:rPr>
        <w:t xml:space="preserve">    "regions": "UAE — Dubai and Abu Dhabi, Saudi Arabia — Riyadh and Jeddah, Qatar",</w:t>
      </w:r>
    </w:p>
    <w:p>
      <w:pPr>
        <w:shd w:fill="F0F0F0" w:val="clear"/>
        <w:spacing w:after="14" w:before="14"/>
        <w:ind w:left="360"/>
      </w:pPr>
      <w:r>
        <w:rPr>
          <w:rFonts w:ascii="Courier New" w:cs="Courier New" w:eastAsia="Courier New" w:hAnsi="Courier New"/>
          <w:color w:val="1B2A4A"/>
          <w:sz w:val="16"/>
          <w:szCs w:val="16"/>
        </w:rPr>
        <w:t xml:space="preserve">    "stat1n": "$50B",</w:t>
      </w:r>
    </w:p>
    <w:p>
      <w:pPr>
        <w:shd w:fill="F0F0F0" w:val="clear"/>
        <w:spacing w:after="14" w:before="14"/>
        <w:ind w:left="360"/>
      </w:pPr>
      <w:r>
        <w:rPr>
          <w:rFonts w:ascii="Courier New" w:cs="Courier New" w:eastAsia="Courier New" w:hAnsi="Courier New"/>
          <w:color w:val="1B2A4A"/>
          <w:sz w:val="16"/>
          <w:szCs w:val="16"/>
        </w:rPr>
        <w:t xml:space="preserve">    "stat1l": "Gulf professional services market by 2028",</w:t>
      </w:r>
    </w:p>
    <w:p>
      <w:pPr>
        <w:shd w:fill="F0F0F0" w:val="clear"/>
        <w:spacing w:after="14" w:before="14"/>
        <w:ind w:left="360"/>
      </w:pPr>
      <w:r>
        <w:rPr>
          <w:rFonts w:ascii="Courier New" w:cs="Courier New" w:eastAsia="Courier New" w:hAnsi="Courier New"/>
          <w:color w:val="1B2A4A"/>
          <w:sz w:val="16"/>
          <w:szCs w:val="16"/>
        </w:rPr>
        <w:t xml:space="preserve">    "stat1b": "Growing at 12% annually as Vision 2030 procurement, financial services, and technology sector expansion all drive professional services demand.",</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B2B services mandate",</w:t>
      </w:r>
    </w:p>
    <w:p>
      <w:pPr>
        <w:shd w:fill="F0F0F0" w:val="clear"/>
        <w:spacing w:after="14" w:before="14"/>
        <w:ind w:left="360"/>
      </w:pPr>
      <w:r>
        <w:rPr>
          <w:rFonts w:ascii="Courier New" w:cs="Courier New" w:eastAsia="Courier New" w:hAnsi="Courier New"/>
          <w:color w:val="1B2A4A"/>
          <w:sz w:val="16"/>
          <w:szCs w:val="16"/>
        </w:rPr>
        <w:t xml:space="preserve">    "stat2b": "Gulf enterprise buyers, government programme heads, and professional services decision-makers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B2B professional services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government programme mapping and enterprise buyer research delivers Gulf professional services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"india-consumer-health",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"health-supplements",</w:t>
      </w:r>
    </w:p>
    <w:p>
      <w:pPr>
        <w:shd w:fill="F0F0F0" w:val="clear"/>
        <w:spacing w:after="14" w:before="14"/>
        <w:ind w:left="360"/>
      </w:pPr>
      <w:r>
        <w:rPr>
          <w:rFonts w:ascii="Courier New" w:cs="Courier New" w:eastAsia="Courier New" w:hAnsi="Courier New"/>
          <w:color w:val="1B2A4A"/>
          <w:sz w:val="16"/>
          <w:szCs w:val="16"/>
        </w:rPr>
        <w:t xml:space="preserve">    "title": "India Consumer Health &amp; OTC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consumer health brands, OTC pharmaceutical companies, and health supplement businesses enter India with market entry strategy, CDSCO regulatory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"h1": "India consumer health and OTC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health brand to Indian pharmacy shelf — strategy for consumer health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consumer health and OTC market is one of the world's most significant and fastest-growing — with 1.4 billion people, rising health awareness driven by COVID, growing middle-class willingness to spend on health and wellness, a chemist distribution network of 900,000 outlets, and rapidly growing e-pharmacy channels. International OTC pharmaceutical brands, health supplement companies, personal care health brands, and digital health businesses are all evaluating India as a consumer health market entry destination. GreyRadius helps consumer health companies validate Indian consumer demand, navigate CDSCO and FSSAI regulatory requirements, identify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"India's consumer health market is at an inflection point — post-COVID health awareness has permanently elevated consumer health spending, e-pharmacy platforms including PharmEasy, 1mg, and Netmeds have created accessible digital distribution, and AYUSH market expansion has opened new herbal and wellness product categories. The consumer health brands establishing Indian distribution in 2024–2027 will capture this sustained health awareness-driven demand growth.",</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consumer health market is projected to reach $25B by 2027 — growing at 12% annually as health awareness, rising incomes, and digital distribution make health and wellness products accessible to India's mass market.",</w:t>
      </w:r>
    </w:p>
    <w:p>
      <w:pPr>
        <w:shd w:fill="F0F0F0" w:val="clear"/>
        <w:spacing w:after="14" w:before="14"/>
        <w:ind w:left="360"/>
      </w:pPr>
      <w:r>
        <w:rPr>
          <w:rFonts w:ascii="Courier New" w:cs="Courier New" w:eastAsia="Courier New" w:hAnsi="Courier New"/>
          <w:color w:val="1B2A4A"/>
          <w:sz w:val="16"/>
          <w:szCs w:val="16"/>
        </w:rPr>
        <w:t xml:space="preserve">      "India's e-pharmacy market is growing at 40% annually — PharmEasy, 1mg, and Apollo Pharmacy are creating digital OTC distribution that reaches urban India without traditional distributor networks.",</w:t>
      </w:r>
    </w:p>
    <w:p>
      <w:pPr>
        <w:shd w:fill="F0F0F0" w:val="clear"/>
        <w:spacing w:after="14" w:before="14"/>
        <w:ind w:left="360"/>
      </w:pPr>
      <w:r>
        <w:rPr>
          <w:rFonts w:ascii="Courier New" w:cs="Courier New" w:eastAsia="Courier New" w:hAnsi="Courier New"/>
          <w:color w:val="1B2A4A"/>
          <w:sz w:val="16"/>
          <w:szCs w:val="16"/>
        </w:rPr>
        <w:t xml:space="preserve">      "AYUSH market expansion is creating new product categories — herbal, ayurvedic, and traditional medicine products are growing at 15%+ and are significantly easier to register than allopathic OTC products.",</w:t>
      </w:r>
    </w:p>
    <w:p>
      <w:pPr>
        <w:shd w:fill="F0F0F0" w:val="clear"/>
        <w:spacing w:after="14" w:before="14"/>
        <w:ind w:left="360"/>
      </w:pPr>
      <w:r>
        <w:rPr>
          <w:rFonts w:ascii="Courier New" w:cs="Courier New" w:eastAsia="Courier New" w:hAnsi="Courier New"/>
          <w:color w:val="1B2A4A"/>
          <w:sz w:val="16"/>
          <w:szCs w:val="16"/>
        </w:rPr>
        <w:t xml:space="preserve">      "India's vitamin and supplement market is growing at 20% annually — COVID awareness, sports nutrition adoption, and preventive health investment are all driving supplement demand across urban consumers."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"CDSCO drug licensing for OTC pharmaceutical products is complex — drug master file, bioequivalence studies, and CDSCO approval are required before product launch adding 18–24 months to entry timelines.",</w:t>
      </w:r>
    </w:p>
    <w:p>
      <w:pPr>
        <w:shd w:fill="F0F0F0" w:val="clear"/>
        <w:spacing w:after="14" w:before="14"/>
        <w:ind w:left="360"/>
      </w:pPr>
      <w:r>
        <w:rPr>
          <w:rFonts w:ascii="Courier New" w:cs="Courier New" w:eastAsia="Courier New" w:hAnsi="Courier New"/>
          <w:color w:val="1B2A4A"/>
          <w:sz w:val="16"/>
          <w:szCs w:val="16"/>
        </w:rPr>
        <w:t xml:space="preserve">      "FSSAI registration for health food supplements is faster but still requires advance planning — health supplement categorisation, labelling compliance, and import licensing all require regulatory expertise.",</w:t>
      </w:r>
    </w:p>
    <w:p>
      <w:pPr>
        <w:shd w:fill="F0F0F0" w:val="clear"/>
        <w:spacing w:after="14" w:before="14"/>
        <w:ind w:left="360"/>
      </w:pPr>
      <w:r>
        <w:rPr>
          <w:rFonts w:ascii="Courier New" w:cs="Courier New" w:eastAsia="Courier New" w:hAnsi="Courier New"/>
          <w:color w:val="1B2A4A"/>
          <w:sz w:val="16"/>
          <w:szCs w:val="16"/>
        </w:rPr>
        <w:t xml:space="preserve">      "Chemist distribution network requires a national distributor — reaching India's 900,000 chemist outlets requires a well-connected pharmaceutical distributor with pan-India coverage.",</w:t>
      </w:r>
    </w:p>
    <w:p>
      <w:pPr>
        <w:shd w:fill="F0F0F0" w:val="clear"/>
        <w:spacing w:after="14" w:before="14"/>
        <w:ind w:left="360"/>
      </w:pPr>
      <w:r>
        <w:rPr>
          <w:rFonts w:ascii="Courier New" w:cs="Courier New" w:eastAsia="Courier New" w:hAnsi="Courier New"/>
          <w:color w:val="1B2A4A"/>
          <w:sz w:val="16"/>
          <w:szCs w:val="16"/>
        </w:rPr>
        <w:t xml:space="preserve">      "India consumer health market has intense competition — established Indian health brands including Himalaya, Dabur, and Patanjali compete aggressively on price with strong brand equity."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consumer health demand validation|You need to validate Indian consumer demand for your health product including price sensitivity, channel preference, and competitive positioning.",</w:t>
      </w:r>
    </w:p>
    <w:p>
      <w:pPr>
        <w:shd w:fill="F0F0F0" w:val="clear"/>
        <w:spacing w:after="14" w:before="14"/>
        <w:ind w:left="360"/>
      </w:pPr>
      <w:r>
        <w:rPr>
          <w:rFonts w:ascii="Courier New" w:cs="Courier New" w:eastAsia="Courier New" w:hAnsi="Courier New"/>
          <w:color w:val="1B2A4A"/>
          <w:sz w:val="16"/>
          <w:szCs w:val="16"/>
        </w:rPr>
        <w:t xml:space="preserve">      "CDSCO and FSSAI regulatory pathway|You need to understand the right regulatory classification — OTC drug, health supplement, AYUSH, or food with health claims — and the approval process for each.",</w:t>
      </w:r>
    </w:p>
    <w:p>
      <w:pPr>
        <w:shd w:fill="F0F0F0" w:val="clear"/>
        <w:spacing w:after="14" w:before="14"/>
        <w:ind w:left="360"/>
      </w:pPr>
      <w:r>
        <w:rPr>
          <w:rFonts w:ascii="Courier New" w:cs="Courier New" w:eastAsia="Courier New" w:hAnsi="Courier New"/>
          <w:color w:val="1B2A4A"/>
          <w:sz w:val="16"/>
          <w:szCs w:val="16"/>
        </w:rPr>
        <w:t xml:space="preserve">      "India consumer health distributor identification|You need a national pharmaceutical or health product distributor with chemist network coverage and e-pharmacy platform relationships.",</w:t>
      </w:r>
    </w:p>
    <w:p>
      <w:pPr>
        <w:shd w:fill="F0F0F0" w:val="clear"/>
        <w:spacing w:after="14" w:before="14"/>
        <w:ind w:left="360"/>
      </w:pPr>
      <w:r>
        <w:rPr>
          <w:rFonts w:ascii="Courier New" w:cs="Courier New" w:eastAsia="Courier New" w:hAnsi="Courier New"/>
          <w:color w:val="1B2A4A"/>
          <w:sz w:val="16"/>
          <w:szCs w:val="16"/>
        </w:rPr>
        <w:t xml:space="preserve">      "India consumer health GTM strategy|You need a go-to-market plan covering chemist distribution, e-pharmacy platforms, and direct consumer channels.",</w:t>
      </w:r>
    </w:p>
    <w:p>
      <w:pPr>
        <w:shd w:fill="F0F0F0" w:val="clear"/>
        <w:spacing w:after="14" w:before="14"/>
        <w:ind w:left="360"/>
      </w:pPr>
      <w:r>
        <w:rPr>
          <w:rFonts w:ascii="Courier New" w:cs="Courier New" w:eastAsia="Courier New" w:hAnsi="Courier New"/>
          <w:color w:val="1B2A4A"/>
          <w:sz w:val="16"/>
          <w:szCs w:val="16"/>
        </w:rPr>
        <w:t xml:space="preserve">      "Raising capital for India consumer health investment|You need a pitch book grounded in India consumer health market data and regulatory framework analysis.",</w:t>
      </w:r>
    </w:p>
    <w:p>
      <w:pPr>
        <w:shd w:fill="F0F0F0" w:val="clear"/>
        <w:spacing w:after="14" w:before="14"/>
        <w:ind w:left="360"/>
      </w:pPr>
      <w:r>
        <w:rPr>
          <w:rFonts w:ascii="Courier New" w:cs="Courier New" w:eastAsia="Courier New" w:hAnsi="Courier New"/>
          <w:color w:val="1B2A4A"/>
          <w:sz w:val="16"/>
          <w:szCs w:val="16"/>
        </w:rPr>
        <w:t xml:space="preserve">      "E-pharmacy platform listing strategy|You need a strategy for listing on PharmEasy, 1mg, and Apollo Pharmacy as priority digital distribution channels."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consumer demand for your health product with consumer surveys across income segments and channel preference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consumer health investment covering regulatory compliance cost and distribution economics.",</w:t>
      </w:r>
    </w:p>
    <w:p>
      <w:pPr>
        <w:shd w:fill="F0F0F0" w:val="clear"/>
        <w:spacing w:after="14" w:before="14"/>
        <w:ind w:left="360"/>
      </w:pPr>
      <w:r>
        <w:rPr>
          <w:rFonts w:ascii="Courier New" w:cs="Courier New" w:eastAsia="Courier New" w:hAnsi="Courier New"/>
          <w:color w:val="1B2A4A"/>
          <w:sz w:val="16"/>
          <w:szCs w:val="16"/>
        </w:rPr>
        <w:t xml:space="preserve">      "End-to-end India consumer health market entry including regulatory pathway, distributor identification, and first-distribution milestone.",</w:t>
      </w:r>
    </w:p>
    <w:p>
      <w:pPr>
        <w:shd w:fill="F0F0F0" w:val="clear"/>
        <w:spacing w:after="14" w:before="14"/>
        <w:ind w:left="360"/>
      </w:pPr>
      <w:r>
        <w:rPr>
          <w:rFonts w:ascii="Courier New" w:cs="Courier New" w:eastAsia="Courier New" w:hAnsi="Courier New"/>
          <w:color w:val="1B2A4A"/>
          <w:sz w:val="16"/>
          <w:szCs w:val="16"/>
        </w:rPr>
        <w:t xml:space="preserve">      "Embedded India consumer health GTM team covering distributor and e-pharmacy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consumer health investment with market growth narrative and regulatory timeline.",</w:t>
      </w:r>
    </w:p>
    <w:p>
      <w:pPr>
        <w:shd w:fill="F0F0F0" w:val="clear"/>
        <w:spacing w:after="14" w:before="14"/>
        <w:ind w:left="360"/>
      </w:pPr>
      <w:r>
        <w:rPr>
          <w:rFonts w:ascii="Courier New" w:cs="Courier New" w:eastAsia="Courier New" w:hAnsi="Courier New"/>
          <w:color w:val="1B2A4A"/>
          <w:sz w:val="16"/>
          <w:szCs w:val="16"/>
        </w:rPr>
        <w:t xml:space="preserve">      "AI use-case identification — from Hindi language health advisory to demand forecasting and chemist distribution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OTC pharmaceutical brands or also with health supplements, vitamins, and personal care health companies entering India?|All consumer health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consumer health market entry engagement take?|Typically 8–12 weeks for consumer demand research, regulatory classification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national pharmaceutical distributors for consumer health companies in India?|Yes — national distributor identification and initial commercial introductions are core to our India consumer health service.",</w:t>
      </w:r>
    </w:p>
    <w:p>
      <w:pPr>
        <w:shd w:fill="F0F0F0" w:val="clear"/>
        <w:spacing w:after="14" w:before="14"/>
        <w:ind w:left="360"/>
      </w:pPr>
      <w:r>
        <w:rPr>
          <w:rFonts w:ascii="Courier New" w:cs="Courier New" w:eastAsia="Courier New" w:hAnsi="Courier New"/>
          <w:color w:val="1B2A4A"/>
          <w:sz w:val="16"/>
          <w:szCs w:val="16"/>
        </w:rPr>
        <w:t xml:space="preserve">      "What is the fastest regulatory pathway for international health products entering India?|AYUSH registration or FSSAI health supplement classification are typically faster than CDSCO OTC drug approval — we assess the right regulatory pathway for every product."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consumer health market entry, India OTC pharmaceutical GTM strategy, India health supplement consulting, CDSCO regulatory advisory, India wellness market entry, India FSSAI health food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plus nationwide chemist network distribution",</w:t>
      </w:r>
    </w:p>
    <w:p>
      <w:pPr>
        <w:shd w:fill="F0F0F0" w:val="clear"/>
        <w:spacing w:after="14" w:before="14"/>
        <w:ind w:left="360"/>
      </w:pPr>
      <w:r>
        <w:rPr>
          <w:rFonts w:ascii="Courier New" w:cs="Courier New" w:eastAsia="Courier New" w:hAnsi="Courier New"/>
          <w:color w:val="1B2A4A"/>
          <w:sz w:val="16"/>
          <w:szCs w:val="16"/>
        </w:rPr>
        <w:t xml:space="preserve">    "stat1n": "$25B",</w:t>
      </w:r>
    </w:p>
    <w:p>
      <w:pPr>
        <w:shd w:fill="F0F0F0" w:val="clear"/>
        <w:spacing w:after="14" w:before="14"/>
        <w:ind w:left="360"/>
      </w:pPr>
      <w:r>
        <w:rPr>
          <w:rFonts w:ascii="Courier New" w:cs="Courier New" w:eastAsia="Courier New" w:hAnsi="Courier New"/>
          <w:color w:val="1B2A4A"/>
          <w:sz w:val="16"/>
          <w:szCs w:val="16"/>
        </w:rPr>
        <w:t xml:space="preserve">    "stat1l": "India consumer health market by 2027",</w:t>
      </w:r>
    </w:p>
    <w:p>
      <w:pPr>
        <w:shd w:fill="F0F0F0" w:val="clear"/>
        <w:spacing w:after="14" w:before="14"/>
        <w:ind w:left="360"/>
      </w:pPr>
      <w:r>
        <w:rPr>
          <w:rFonts w:ascii="Courier New" w:cs="Courier New" w:eastAsia="Courier New" w:hAnsi="Courier New"/>
          <w:color w:val="1B2A4A"/>
          <w:sz w:val="16"/>
          <w:szCs w:val="16"/>
        </w:rPr>
        <w:t xml:space="preserve">    "stat1b": "Growing at 12% annually as health awareness, rising incomes, and digital distribution make health and wellness products accessible.",</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consumer health mandate",</w:t>
      </w:r>
    </w:p>
    <w:p>
      <w:pPr>
        <w:shd w:fill="F0F0F0" w:val="clear"/>
        <w:spacing w:after="14" w:before="14"/>
        <w:ind w:left="360"/>
      </w:pPr>
      <w:r>
        <w:rPr>
          <w:rFonts w:ascii="Courier New" w:cs="Courier New" w:eastAsia="Courier New" w:hAnsi="Courier New"/>
          <w:color w:val="1B2A4A"/>
          <w:sz w:val="16"/>
          <w:szCs w:val="16"/>
        </w:rPr>
        <w:t xml:space="preserve">    "stat2b": "Indian consumers, chemists, and pharmaceutical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consumer health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CDSCO regulatory mapping and consumer demand research delivers India consumer health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"africa-healthtech-market-entry",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"healthtech",</w:t>
      </w:r>
    </w:p>
    <w:p>
      <w:pPr>
        <w:shd w:fill="F0F0F0" w:val="clear"/>
        <w:spacing w:after="14" w:before="14"/>
        <w:ind w:left="360"/>
      </w:pPr>
      <w:r>
        <w:rPr>
          <w:rFonts w:ascii="Courier New" w:cs="Courier New" w:eastAsia="Courier New" w:hAnsi="Courier New"/>
          <w:color w:val="1B2A4A"/>
          <w:sz w:val="16"/>
          <w:szCs w:val="16"/>
        </w:rPr>
        <w:t xml:space="preserve">    "title": "Africa Healthtech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healthtech companies enter Africa with market entry strategy, regulatory mapping, hospital GTM, and partner identification across Nigeria, Kenya, South Africa, and Egypt.",</w:t>
      </w:r>
    </w:p>
    <w:p>
      <w:pPr>
        <w:shd w:fill="F0F0F0" w:val="clear"/>
        <w:spacing w:after="14" w:before="14"/>
        <w:ind w:left="360"/>
      </w:pPr>
      <w:r>
        <w:rPr>
          <w:rFonts w:ascii="Courier New" w:cs="Courier New" w:eastAsia="Courier New" w:hAnsi="Courier New"/>
          <w:color w:val="1B2A4A"/>
          <w:sz w:val="16"/>
          <w:szCs w:val="16"/>
        </w:rPr>
        <w:t xml:space="preserve">    "h1": "Africa healthtech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health technology to African patient — strategy for healthtech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healthtech market is one of the world's most impactful investment opportunities — with 1.4 billion people, a severe healthcare infrastructure deficit, smartphone penetration enabling digital health access for the first time, and governments investing in digital health as a force multiplier for limited clinical resources. International telemedicine companies, diagnostic technology businesses, health information systems providers, and mHealth platform developers are all evaluating Africa as a healthtech market. GreyRadius helps healthtech companies validate African healthcare demand, navigate regulatory requirements, identify hospital and government partners, and raise capital.",</w:t>
      </w:r>
    </w:p>
    <w:p>
      <w:pPr>
        <w:shd w:fill="F0F0F0" w:val="clear"/>
        <w:spacing w:after="14" w:before="14"/>
        <w:ind w:left="360"/>
      </w:pPr>
      <w:r>
        <w:rPr>
          <w:rFonts w:ascii="Courier New" w:cs="Courier New" w:eastAsia="Courier New" w:hAnsi="Courier New"/>
          <w:color w:val="1B2A4A"/>
          <w:sz w:val="16"/>
          <w:szCs w:val="16"/>
        </w:rPr>
        <w:t xml:space="preserve">    "market_timing": "Africa's digital health infrastructure is improving rapidly — M-TIBA in Kenya, mPedigree in Ghana, and government electronic health record investments across multiple African markets are creating digital health infrastructure that healthtech companies can connect to. COVID permanently elevated African government and consumer appetite for digital health solutions. The healthtech companies establishing African healthcare relationships in 2024–2027 will be embedded in health systems serving hundreds of millions of patients.",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healthtech market is projected to reach $12B by 2028 — growing at 20% annually as smartphone penetration, government digital health investment, and disease burden drive adoption.",</w:t>
      </w:r>
    </w:p>
    <w:p>
      <w:pPr>
        <w:shd w:fill="F0F0F0" w:val="clear"/>
        <w:spacing w:after="14" w:before="14"/>
        <w:ind w:left="360"/>
      </w:pPr>
      <w:r>
        <w:rPr>
          <w:rFonts w:ascii="Courier New" w:cs="Courier New" w:eastAsia="Courier New" w:hAnsi="Courier New"/>
          <w:color w:val="1B2A4A"/>
          <w:sz w:val="16"/>
          <w:szCs w:val="16"/>
        </w:rPr>
        <w:t xml:space="preserve">      "Africa has the world's largest unmet diagnostic need — tuberculosis, malaria, HIV, and NCDs all have vast diagnostic gaps that point-of-care and AI diagnostic technology can address at scale.",</w:t>
      </w:r>
    </w:p>
    <w:p>
      <w:pPr>
        <w:shd w:fill="F0F0F0" w:val="clear"/>
        <w:spacing w:after="14" w:before="14"/>
        <w:ind w:left="360"/>
      </w:pPr>
      <w:r>
        <w:rPr>
          <w:rFonts w:ascii="Courier New" w:cs="Courier New" w:eastAsia="Courier New" w:hAnsi="Courier New"/>
          <w:color w:val="1B2A4A"/>
          <w:sz w:val="16"/>
          <w:szCs w:val="16"/>
        </w:rPr>
        <w:t xml:space="preserve">      "East Africa's mHealth ecosystem is the world's most advanced — M-Pesa integrated health payments, community health worker digital tools, and government digital health programmes create sophisticated infrastructure.",</w:t>
      </w:r>
    </w:p>
    <w:p>
      <w:pPr>
        <w:shd w:fill="F0F0F0" w:val="clear"/>
        <w:spacing w:after="14" w:before="14"/>
        <w:ind w:left="360"/>
      </w:pPr>
      <w:r>
        <w:rPr>
          <w:rFonts w:ascii="Courier New" w:cs="Courier New" w:eastAsia="Courier New" w:hAnsi="Courier New"/>
          <w:color w:val="1B2A4A"/>
          <w:sz w:val="16"/>
          <w:szCs w:val="16"/>
        </w:rPr>
        <w:t xml:space="preserve">      "Telemedicine is growing at 30%+ annually across urban Africa — mobile-first telehealth platforms connecting patients with physicians are achieving rapid adoption in Nigeria, Kenya, and South Africa."</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"Healthcare regulatory requirements vary across African markets — NAFDAC in Nigeria, PPB in Kenya, SAHPRA in South Africa, and Egypt's EDA all have different medical device and digital health classification requirements.",</w:t>
      </w:r>
    </w:p>
    <w:p>
      <w:pPr>
        <w:shd w:fill="F0F0F0" w:val="clear"/>
        <w:spacing w:after="14" w:before="14"/>
        <w:ind w:left="360"/>
      </w:pPr>
      <w:r>
        <w:rPr>
          <w:rFonts w:ascii="Courier New" w:cs="Courier New" w:eastAsia="Courier New" w:hAnsi="Courier New"/>
          <w:color w:val="1B2A4A"/>
          <w:sz w:val="16"/>
          <w:szCs w:val="16"/>
        </w:rPr>
        <w:t xml:space="preserve">      "Healthcare infrastructure quality varies dramatically — South Africa has sophisticated hospital systems while Nigeria and Ethiopia have basic facilities limiting the technology complexity that can be deployed.",</w:t>
      </w:r>
    </w:p>
    <w:p>
      <w:pPr>
        <w:shd w:fill="F0F0F0" w:val="clear"/>
        <w:spacing w:after="14" w:before="14"/>
        <w:ind w:left="360"/>
      </w:pPr>
      <w:r>
        <w:rPr>
          <w:rFonts w:ascii="Courier New" w:cs="Courier New" w:eastAsia="Courier New" w:hAnsi="Courier New"/>
          <w:color w:val="1B2A4A"/>
          <w:sz w:val="16"/>
          <w:szCs w:val="16"/>
        </w:rPr>
        <w:t xml:space="preserve">      "Payment for healthcare services is predominantly out-of-pocket — limited health insurance penetration means healthtech must be priced for patient affordability or integrated with government health programmes.",</w:t>
      </w:r>
    </w:p>
    <w:p>
      <w:pPr>
        <w:shd w:fill="F0F0F0" w:val="clear"/>
        <w:spacing w:after="14" w:before="14"/>
        <w:ind w:left="360"/>
      </w:pPr>
      <w:r>
        <w:rPr>
          <w:rFonts w:ascii="Courier New" w:cs="Courier New" w:eastAsia="Courier New" w:hAnsi="Courier New"/>
          <w:color w:val="1B2A4A"/>
          <w:sz w:val="16"/>
          <w:szCs w:val="16"/>
        </w:rPr>
        <w:t xml:space="preserve">      "Data privacy and patient consent frameworks are still developing — health data regulations are evolving across African markets creating compliance uncertainty for health data-intensive platforms."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healthtech market prioritisation|You need to identify which African markets offer the best combination of healthcare demand, infrastructure quality, and regulatory access for your product.",</w:t>
      </w:r>
    </w:p>
    <w:p>
      <w:pPr>
        <w:shd w:fill="F0F0F0" w:val="clear"/>
        <w:spacing w:after="14" w:before="14"/>
        <w:ind w:left="360"/>
      </w:pPr>
      <w:r>
        <w:rPr>
          <w:rFonts w:ascii="Courier New" w:cs="Courier New" w:eastAsia="Courier New" w:hAnsi="Courier New"/>
          <w:color w:val="1B2A4A"/>
          <w:sz w:val="16"/>
          <w:szCs w:val="16"/>
        </w:rPr>
        <w:t xml:space="preserve">      "Regulatory and medical device registration pathway|You need to understand medical device registration, digital health software classification, and health data requirements in each target market.",</w:t>
      </w:r>
    </w:p>
    <w:p>
      <w:pPr>
        <w:shd w:fill="F0F0F0" w:val="clear"/>
        <w:spacing w:after="14" w:before="14"/>
        <w:ind w:left="360"/>
      </w:pPr>
      <w:r>
        <w:rPr>
          <w:rFonts w:ascii="Courier New" w:cs="Courier New" w:eastAsia="Courier New" w:hAnsi="Courier New"/>
          <w:color w:val="1B2A4A"/>
          <w:sz w:val="16"/>
          <w:szCs w:val="16"/>
        </w:rPr>
        <w:t xml:space="preserve">      "Hospital and government health partner identification|You need hospital groups, community health worker networks, and government health programme contacts as partners.",</w:t>
      </w:r>
    </w:p>
    <w:p>
      <w:pPr>
        <w:shd w:fill="F0F0F0" w:val="clear"/>
        <w:spacing w:after="14" w:before="14"/>
        <w:ind w:left="360"/>
      </w:pPr>
      <w:r>
        <w:rPr>
          <w:rFonts w:ascii="Courier New" w:cs="Courier New" w:eastAsia="Courier New" w:hAnsi="Courier New"/>
          <w:color w:val="1B2A4A"/>
          <w:sz w:val="16"/>
          <w:szCs w:val="16"/>
        </w:rPr>
        <w:t xml:space="preserve">      "Africa healthtech GTM strategy|You need a country-by-country health system and consumer acquisition plan tailored to African health market dynamics.",</w:t>
      </w:r>
    </w:p>
    <w:p>
      <w:pPr>
        <w:shd w:fill="F0F0F0" w:val="clear"/>
        <w:spacing w:after="14" w:before="14"/>
        <w:ind w:left="360"/>
      </w:pPr>
      <w:r>
        <w:rPr>
          <w:rFonts w:ascii="Courier New" w:cs="Courier New" w:eastAsia="Courier New" w:hAnsi="Courier New"/>
          <w:color w:val="1B2A4A"/>
          <w:sz w:val="16"/>
          <w:szCs w:val="16"/>
        </w:rPr>
        <w:t xml:space="preserve">      "Raising capital for Africa healthtech investment|You need a pitch book grounded in African healthcare demand data and impact narrative for investors.",</w:t>
      </w:r>
    </w:p>
    <w:p>
      <w:pPr>
        <w:shd w:fill="F0F0F0" w:val="clear"/>
        <w:spacing w:after="14" w:before="14"/>
        <w:ind w:left="360"/>
      </w:pPr>
      <w:r>
        <w:rPr>
          <w:rFonts w:ascii="Courier New" w:cs="Courier New" w:eastAsia="Courier New" w:hAnsi="Courier New"/>
          <w:color w:val="1B2A4A"/>
          <w:sz w:val="16"/>
          <w:szCs w:val="16"/>
        </w:rPr>
        <w:t xml:space="preserve">      "Government health programme access|You need to identify national health insurance and government digital health programme opportunities in each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healthcare demand across priority markets with primary research covering patients, clinicians, and health programme officials.",</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healthtech investment covering regulatory cost and healthcare buyer economics.",</w:t>
      </w:r>
    </w:p>
    <w:p>
      <w:pPr>
        <w:shd w:fill="F0F0F0" w:val="clear"/>
        <w:spacing w:after="14" w:before="14"/>
        <w:ind w:left="360"/>
      </w:pPr>
      <w:r>
        <w:rPr>
          <w:rFonts w:ascii="Courier New" w:cs="Courier New" w:eastAsia="Courier New" w:hAnsi="Courier New"/>
          <w:color w:val="1B2A4A"/>
          <w:sz w:val="16"/>
          <w:szCs w:val="16"/>
        </w:rPr>
        <w:t xml:space="preserve">      "End-to-end Africa healthtech market entry including regulatory pathway and hospital and government partner identification.",</w:t>
      </w:r>
    </w:p>
    <w:p>
      <w:pPr>
        <w:shd w:fill="F0F0F0" w:val="clear"/>
        <w:spacing w:after="14" w:before="14"/>
        <w:ind w:left="360"/>
      </w:pPr>
      <w:r>
        <w:rPr>
          <w:rFonts w:ascii="Courier New" w:cs="Courier New" w:eastAsia="Courier New" w:hAnsi="Courier New"/>
          <w:color w:val="1B2A4A"/>
          <w:sz w:val="16"/>
          <w:szCs w:val="16"/>
        </w:rPr>
        <w:t xml:space="preserve">      "Embedded Africa healthtech GTM team covering hospital, clinic, and government health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healthtech investment with impact narrative and healthcare demand data.",</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 diagnostics adapted for African disease burden to mobile health advisory in local languages."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telemedicine companies or also with diagnostic technology, HIS, and mHealth platform companies entering Africa?|All healthtech categories.",</w:t>
      </w:r>
    </w:p>
    <w:p>
      <w:pPr>
        <w:shd w:fill="F0F0F0" w:val="clear"/>
        <w:spacing w:after="14" w:before="14"/>
        <w:ind w:left="360"/>
      </w:pPr>
      <w:r>
        <w:rPr>
          <w:rFonts w:ascii="Courier New" w:cs="Courier New" w:eastAsia="Courier New" w:hAnsi="Courier New"/>
          <w:color w:val="1B2A4A"/>
          <w:sz w:val="16"/>
          <w:szCs w:val="16"/>
        </w:rPr>
        <w:t xml:space="preserve">      "Which African healthtech markets does GreyRadius prioritise?|Nigeria, Kenya, South Africa, and Egypt as primary markets across all major African regions.",</w:t>
      </w:r>
    </w:p>
    <w:p>
      <w:pPr>
        <w:shd w:fill="F0F0F0" w:val="clear"/>
        <w:spacing w:after="14" w:before="14"/>
        <w:ind w:left="360"/>
      </w:pPr>
      <w:r>
        <w:rPr>
          <w:rFonts w:ascii="Courier New" w:cs="Courier New" w:eastAsia="Courier New" w:hAnsi="Courier New"/>
          <w:color w:val="1B2A4A"/>
          <w:sz w:val="16"/>
          <w:szCs w:val="16"/>
        </w:rPr>
        <w:t xml:space="preserve">      "How long does an Africa healthtech market entry engagement take?|Typically 8–12 weeks for healthcare demand research, regulatory mapping, and government programme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government health programme contacts and hospital partners in Africa?|Yes — government health programme mapping and hospital partner identification are core to our Africa healthtech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healthtech market entry, Nigeria health technology GTM strategy, Kenya mHealth consulting, Africa digital health advisory, Africa telemedicine market entry",</w:t>
      </w:r>
    </w:p>
    <w:p>
      <w:pPr>
        <w:shd w:fill="F0F0F0" w:val="clear"/>
        <w:spacing w:after="14" w:before="14"/>
        <w:ind w:left="360"/>
      </w:pPr>
      <w:r>
        <w:rPr>
          <w:rFonts w:ascii="Courier New" w:cs="Courier New" w:eastAsia="Courier New" w:hAnsi="Courier New"/>
          <w:color w:val="1B2A4A"/>
          <w:sz w:val="16"/>
          <w:szCs w:val="16"/>
        </w:rPr>
        <w:t xml:space="preserve">    "regions": "Nigeria, Kenya, South Africa, Egypt, Ghana, Ethiopia, Tanzania",</w:t>
      </w:r>
    </w:p>
    <w:p>
      <w:pPr>
        <w:shd w:fill="F0F0F0" w:val="clear"/>
        <w:spacing w:after="14" w:before="14"/>
        <w:ind w:left="360"/>
      </w:pPr>
      <w:r>
        <w:rPr>
          <w:rFonts w:ascii="Courier New" w:cs="Courier New" w:eastAsia="Courier New" w:hAnsi="Courier New"/>
          <w:color w:val="1B2A4A"/>
          <w:sz w:val="16"/>
          <w:szCs w:val="16"/>
        </w:rPr>
        <w:t xml:space="preserve">    "stat1n": "$12B",</w:t>
      </w:r>
    </w:p>
    <w:p>
      <w:pPr>
        <w:shd w:fill="F0F0F0" w:val="clear"/>
        <w:spacing w:after="14" w:before="14"/>
        <w:ind w:left="360"/>
      </w:pPr>
      <w:r>
        <w:rPr>
          <w:rFonts w:ascii="Courier New" w:cs="Courier New" w:eastAsia="Courier New" w:hAnsi="Courier New"/>
          <w:color w:val="1B2A4A"/>
          <w:sz w:val="16"/>
          <w:szCs w:val="16"/>
        </w:rPr>
        <w:t xml:space="preserve">    "stat1l": "Africa healthtech market by 2028",</w:t>
      </w:r>
    </w:p>
    <w:p>
      <w:pPr>
        <w:shd w:fill="F0F0F0" w:val="clear"/>
        <w:spacing w:after="14" w:before="14"/>
        <w:ind w:left="360"/>
      </w:pPr>
      <w:r>
        <w:rPr>
          <w:rFonts w:ascii="Courier New" w:cs="Courier New" w:eastAsia="Courier New" w:hAnsi="Courier New"/>
          <w:color w:val="1B2A4A"/>
          <w:sz w:val="16"/>
          <w:szCs w:val="16"/>
        </w:rPr>
        <w:t xml:space="preserve">    "stat1b": "Growing at 20% annually as smartphone penetration, government digital health investment, and disease burden drive healthtech adoption.",</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healthtech mandate",</w:t>
      </w:r>
    </w:p>
    <w:p>
      <w:pPr>
        <w:shd w:fill="F0F0F0" w:val="clear"/>
        <w:spacing w:after="14" w:before="14"/>
        <w:ind w:left="360"/>
      </w:pPr>
      <w:r>
        <w:rPr>
          <w:rFonts w:ascii="Courier New" w:cs="Courier New" w:eastAsia="Courier New" w:hAnsi="Courier New"/>
          <w:color w:val="1B2A4A"/>
          <w:sz w:val="16"/>
          <w:szCs w:val="16"/>
        </w:rPr>
        <w:t xml:space="preserve">    "stat2b": "African patients, clinicians, and government health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healthtech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healthcare demand mapping and regulatory research delivers Africa healthtech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"india-proptech-market-entry",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"proptech",</w:t>
      </w:r>
    </w:p>
    <w:p>
      <w:pPr>
        <w:shd w:fill="F0F0F0" w:val="clear"/>
        <w:spacing w:after="14" w:before="14"/>
        <w:ind w:left="360"/>
      </w:pPr>
      <w:r>
        <w:rPr>
          <w:rFonts w:ascii="Courier New" w:cs="Courier New" w:eastAsia="Courier New" w:hAnsi="Courier New"/>
          <w:color w:val="1B2A4A"/>
          <w:sz w:val="16"/>
          <w:szCs w:val="16"/>
        </w:rPr>
        <w:t xml:space="preserve">    "title": "India PropTech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PropTech companies enter India with market entry strategy, developer and agency buyer research, channel partner identification, RERA mapping, and fundraising support.",</w:t>
      </w:r>
    </w:p>
    <w:p>
      <w:pPr>
        <w:shd w:fill="F0F0F0" w:val="clear"/>
        <w:spacing w:after="14" w:before="14"/>
        <w:ind w:left="360"/>
      </w:pPr>
      <w:r>
        <w:rPr>
          <w:rFonts w:ascii="Courier New" w:cs="Courier New" w:eastAsia="Courier New" w:hAnsi="Courier New"/>
          <w:color w:val="1B2A4A"/>
          <w:sz w:val="16"/>
          <w:szCs w:val="16"/>
        </w:rPr>
        <w:t xml:space="preserve">    "h1": "India PropTech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property technology to Indian real estate deployment — strategy for PropTech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PropTech market is growing at extraordinary speed — driven by RERA-enforced project transparency increasing developer technology adoption, a booming residential and commercial real estate market, co-living and co-working growth, and India's 2030 smart city mission creating urban technology procurement. International PropTech companies across property search platforms, AI valuation tools, construction technology, digital mortgage, smart building management, and real estate data analytics are all evaluating India as a high-growth market. GreyRadius helps PropTech companies validate Indian market demand, navigate RERA and regulatory requirements, identify channel partners, and raise capital for India operations.",</w:t>
      </w:r>
    </w:p>
    <w:p>
      <w:pPr>
        <w:shd w:fill="F0F0F0" w:val="clear"/>
        <w:spacing w:after="14" w:before="14"/>
        <w:ind w:left="360"/>
      </w:pPr>
      <w:r>
        <w:rPr>
          <w:rFonts w:ascii="Courier New" w:cs="Courier New" w:eastAsia="Courier New" w:hAnsi="Courier New"/>
          <w:color w:val="1B2A4A"/>
          <w:sz w:val="16"/>
          <w:szCs w:val="16"/>
        </w:rPr>
        <w:t xml:space="preserve">    "market_timing": "India's real estate market is in a sustained upcycle creating PropTech adoption conditions — 400,000+ apartments sold in India's top 8 cities in 2023 setting all-time records, construction technology adoption is accelerating among large developers, and India's smart city mission is creating government PropTech procurement. The PropTech companies establishing Indian developer and agency relationships in 2024–2027 will be embedded in a market growing for decades.",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PropTech market is projected to reach $1B in revenue by 2027 — growing at 20% annually as RERA compliance drives developer technology adoption and digital property transaction infrastructure scales.",</w:t>
      </w:r>
    </w:p>
    <w:p>
      <w:pPr>
        <w:shd w:fill="F0F0F0" w:val="clear"/>
        <w:spacing w:after="14" w:before="14"/>
        <w:ind w:left="360"/>
      </w:pPr>
      <w:r>
        <w:rPr>
          <w:rFonts w:ascii="Courier New" w:cs="Courier New" w:eastAsia="Courier New" w:hAnsi="Courier New"/>
          <w:color w:val="1B2A4A"/>
          <w:sz w:val="16"/>
          <w:szCs w:val="16"/>
        </w:rPr>
        <w:t xml:space="preserve">      "RERA compliance is creating developer technology demand — project registration, escrow management, and buyer communication requirements are all driving developer investment in compliance and CRM technology.",</w:t>
      </w:r>
    </w:p>
    <w:p>
      <w:pPr>
        <w:shd w:fill="F0F0F0" w:val="clear"/>
        <w:spacing w:after="14" w:before="14"/>
        <w:ind w:left="360"/>
      </w:pPr>
      <w:r>
        <w:rPr>
          <w:rFonts w:ascii="Courier New" w:cs="Courier New" w:eastAsia="Courier New" w:hAnsi="Courier New"/>
          <w:color w:val="1B2A4A"/>
          <w:sz w:val="16"/>
          <w:szCs w:val="16"/>
        </w:rPr>
        <w:t xml:space="preserve">      "Co-living and co-working PropTech is growing at 30%+ annually — the managed accommodation market for young professionals and students is creating demand for booking, management, and community technology.",</w:t>
      </w:r>
    </w:p>
    <w:p>
      <w:pPr>
        <w:shd w:fill="F0F0F0" w:val="clear"/>
        <w:spacing w:after="14" w:before="14"/>
        <w:ind w:left="360"/>
      </w:pPr>
      <w:r>
        <w:rPr>
          <w:rFonts w:ascii="Courier New" w:cs="Courier New" w:eastAsia="Courier New" w:hAnsi="Courier New"/>
          <w:color w:val="1B2A4A"/>
          <w:sz w:val="16"/>
          <w:szCs w:val="16"/>
        </w:rPr>
        <w:t xml:space="preserve">      "Construction technology is the fastest-growing Indian PropTech segment — BIM adoption, project management software, and building materials e-commerce are all seeing significant developer investment."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"India's real estate market is fragmented — 10,000+ developers operating across different states with different RERA frameworks and technology maturity levels creating complex GTM challenges.",</w:t>
      </w:r>
    </w:p>
    <w:p>
      <w:pPr>
        <w:shd w:fill="F0F0F0" w:val="clear"/>
        <w:spacing w:after="14" w:before="14"/>
        <w:ind w:left="360"/>
      </w:pPr>
      <w:r>
        <w:rPr>
          <w:rFonts w:ascii="Courier New" w:cs="Courier New" w:eastAsia="Courier New" w:hAnsi="Courier New"/>
          <w:color w:val="1B2A4A"/>
          <w:sz w:val="16"/>
          <w:szCs w:val="16"/>
        </w:rPr>
        <w:t xml:space="preserve">      "Price sensitivity is significant — Indian developers and agencies have limited technology budgets requiring India-specific pricing for PropTech subscriptions and services.",</w:t>
      </w:r>
    </w:p>
    <w:p>
      <w:pPr>
        <w:shd w:fill="F0F0F0" w:val="clear"/>
        <w:spacing w:after="14" w:before="14"/>
        <w:ind w:left="360"/>
      </w:pPr>
      <w:r>
        <w:rPr>
          <w:rFonts w:ascii="Courier New" w:cs="Courier New" w:eastAsia="Courier New" w:hAnsi="Courier New"/>
          <w:color w:val="1B2A4A"/>
          <w:sz w:val="16"/>
          <w:szCs w:val="16"/>
        </w:rPr>
        <w:t xml:space="preserve">      "Developer technology procurement is conservative — real estate developers prefer proven technology with strong reference customers before making technology investments.",</w:t>
      </w:r>
    </w:p>
    <w:p>
      <w:pPr>
        <w:shd w:fill="F0F0F0" w:val="clear"/>
        <w:spacing w:after="14" w:before="14"/>
        <w:ind w:left="360"/>
      </w:pPr>
      <w:r>
        <w:rPr>
          <w:rFonts w:ascii="Courier New" w:cs="Courier New" w:eastAsia="Courier New" w:hAnsi="Courier New"/>
          <w:color w:val="1B2A4A"/>
          <w:sz w:val="16"/>
          <w:szCs w:val="16"/>
        </w:rPr>
        <w:t xml:space="preserve">      "Real estate agent market is largely informal — 1 million+ agents in India with limited formal association membership creating distribution challenges for agent-facing PropTech."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PropTech demand validation|You need to validate developer, agency, and consumer demand for your property technology and what RERA compliance and integration requirements apply.",</w:t>
      </w:r>
    </w:p>
    <w:p>
      <w:pPr>
        <w:shd w:fill="F0F0F0" w:val="clear"/>
        <w:spacing w:after="14" w:before="14"/>
        <w:ind w:left="360"/>
      </w:pPr>
      <w:r>
        <w:rPr>
          <w:rFonts w:ascii="Courier New" w:cs="Courier New" w:eastAsia="Courier New" w:hAnsi="Courier New"/>
          <w:color w:val="1B2A4A"/>
          <w:sz w:val="16"/>
          <w:szCs w:val="16"/>
        </w:rPr>
        <w:t xml:space="preserve">      "RERA and regulatory pathway|You need to understand state-specific RERA requirements and how they create specific technology procurement demand for your product.",</w:t>
      </w:r>
    </w:p>
    <w:p>
      <w:pPr>
        <w:shd w:fill="F0F0F0" w:val="clear"/>
        <w:spacing w:after="14" w:before="14"/>
        <w:ind w:left="360"/>
      </w:pPr>
      <w:r>
        <w:rPr>
          <w:rFonts w:ascii="Courier New" w:cs="Courier New" w:eastAsia="Courier New" w:hAnsi="Courier New"/>
          <w:color w:val="1B2A4A"/>
          <w:sz w:val="16"/>
          <w:szCs w:val="16"/>
        </w:rPr>
        <w:t xml:space="preserve">      "India PropTech channel partner identification|You need real estate technology distributors, developer associations, and property portal integration partners.",</w:t>
      </w:r>
    </w:p>
    <w:p>
      <w:pPr>
        <w:shd w:fill="F0F0F0" w:val="clear"/>
        <w:spacing w:after="14" w:before="14"/>
        <w:ind w:left="360"/>
      </w:pPr>
      <w:r>
        <w:rPr>
          <w:rFonts w:ascii="Courier New" w:cs="Courier New" w:eastAsia="Courier New" w:hAnsi="Courier New"/>
          <w:color w:val="1B2A4A"/>
          <w:sz w:val="16"/>
          <w:szCs w:val="16"/>
        </w:rPr>
        <w:t xml:space="preserve">      "India PropTech GTM strategy|You need a go-to-market plan covering large developer chains, independent developers, and digital property portals.",</w:t>
      </w:r>
    </w:p>
    <w:p>
      <w:pPr>
        <w:shd w:fill="F0F0F0" w:val="clear"/>
        <w:spacing w:after="14" w:before="14"/>
        <w:ind w:left="360"/>
      </w:pPr>
      <w:r>
        <w:rPr>
          <w:rFonts w:ascii="Courier New" w:cs="Courier New" w:eastAsia="Courier New" w:hAnsi="Courier New"/>
          <w:color w:val="1B2A4A"/>
          <w:sz w:val="16"/>
          <w:szCs w:val="16"/>
        </w:rPr>
        <w:t xml:space="preserve">      "Raising capital for India PropTech|You need a pitch book grounded in India real estate market data and PropTech adoption analysis.",</w:t>
      </w:r>
    </w:p>
    <w:p>
      <w:pPr>
        <w:shd w:fill="F0F0F0" w:val="clear"/>
        <w:spacing w:after="14" w:before="14"/>
        <w:ind w:left="360"/>
      </w:pPr>
      <w:r>
        <w:rPr>
          <w:rFonts w:ascii="Courier New" w:cs="Courier New" w:eastAsia="Courier New" w:hAnsi="Courier New"/>
          <w:color w:val="1B2A4A"/>
          <w:sz w:val="16"/>
          <w:szCs w:val="16"/>
        </w:rPr>
        <w:t xml:space="preserve">      "Smart city and government PropTech opportunity|You need to identify smart city mission and urban development authority technology procurement opportunities."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developer, agency, and consumer demand for your PropTech product with primary research and RERA compliance landscape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PropTech investment covering developer sales economics and India-specific pricing.",</w:t>
      </w:r>
    </w:p>
    <w:p>
      <w:pPr>
        <w:shd w:fill="F0F0F0" w:val="clear"/>
        <w:spacing w:after="14" w:before="14"/>
        <w:ind w:left="360"/>
      </w:pPr>
      <w:r>
        <w:rPr>
          <w:rFonts w:ascii="Courier New" w:cs="Courier New" w:eastAsia="Courier New" w:hAnsi="Courier New"/>
          <w:color w:val="1B2A4A"/>
          <w:sz w:val="16"/>
          <w:szCs w:val="16"/>
        </w:rPr>
        <w:t xml:space="preserve">      "End-to-end India PropTech market entry including RERA pathway, developer and portal partner identification, and first-contract milestone.",</w:t>
      </w:r>
    </w:p>
    <w:p>
      <w:pPr>
        <w:shd w:fill="F0F0F0" w:val="clear"/>
        <w:spacing w:after="14" w:before="14"/>
        <w:ind w:left="360"/>
      </w:pPr>
      <w:r>
        <w:rPr>
          <w:rFonts w:ascii="Courier New" w:cs="Courier New" w:eastAsia="Courier New" w:hAnsi="Courier New"/>
          <w:color w:val="1B2A4A"/>
          <w:sz w:val="16"/>
          <w:szCs w:val="16"/>
        </w:rPr>
        <w:t xml:space="preserve">      "Embedded India PropTech GTM team covering developer and agency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PropTech investment with real estate market upcycle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 property valuation for Indian market conditions to Hindi language property advisory chatbots."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property search platforms or also with construction technology, digital mortgage, and smart building companies entering India?|All PropTech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PropTech market entry engagement take?|Typically 6–10 weeks for developer demand research, RERA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real estate developer and property portal partners for PropTech companies in India?|Yes — developer and portal partner identification are core to our India PropTech market entry service.",</w:t>
      </w:r>
    </w:p>
    <w:p>
      <w:pPr>
        <w:shd w:fill="F0F0F0" w:val="clear"/>
        <w:spacing w:after="14" w:before="14"/>
        <w:ind w:left="360"/>
      </w:pPr>
      <w:r>
        <w:rPr>
          <w:rFonts w:ascii="Courier New" w:cs="Courier New" w:eastAsia="Courier New" w:hAnsi="Courier New"/>
          <w:color w:val="1B2A4A"/>
          <w:sz w:val="16"/>
          <w:szCs w:val="16"/>
        </w:rPr>
        <w:t xml:space="preserve">      "How does RERA create PropTech demand in India?|RERA compliance requirements for project disclosure, escrow management, and buyer communication are all driving developer investment in compliance technology — we map this demand in every India PropTech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PropTech market entry, India property technology GTM strategy, India real estate technology consulting, RERA technology advisory, India PropTech strategy, India construction technology market entry",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Pune, Chennai",</w:t>
      </w:r>
    </w:p>
    <w:p>
      <w:pPr>
        <w:shd w:fill="F0F0F0" w:val="clear"/>
        <w:spacing w:after="14" w:before="14"/>
        <w:ind w:left="360"/>
      </w:pPr>
      <w:r>
        <w:rPr>
          <w:rFonts w:ascii="Courier New" w:cs="Courier New" w:eastAsia="Courier New" w:hAnsi="Courier New"/>
          <w:color w:val="1B2A4A"/>
          <w:sz w:val="16"/>
          <w:szCs w:val="16"/>
        </w:rPr>
        <w:t xml:space="preserve">    "stat1n": "$1B",</w:t>
      </w:r>
    </w:p>
    <w:p>
      <w:pPr>
        <w:shd w:fill="F0F0F0" w:val="clear"/>
        <w:spacing w:after="14" w:before="14"/>
        <w:ind w:left="360"/>
      </w:pPr>
      <w:r>
        <w:rPr>
          <w:rFonts w:ascii="Courier New" w:cs="Courier New" w:eastAsia="Courier New" w:hAnsi="Courier New"/>
          <w:color w:val="1B2A4A"/>
          <w:sz w:val="16"/>
          <w:szCs w:val="16"/>
        </w:rPr>
        <w:t xml:space="preserve">    "stat1l": "India PropTech revenue by 2027",</w:t>
      </w:r>
    </w:p>
    <w:p>
      <w:pPr>
        <w:shd w:fill="F0F0F0" w:val="clear"/>
        <w:spacing w:after="14" w:before="14"/>
        <w:ind w:left="360"/>
      </w:pPr>
      <w:r>
        <w:rPr>
          <w:rFonts w:ascii="Courier New" w:cs="Courier New" w:eastAsia="Courier New" w:hAnsi="Courier New"/>
          <w:color w:val="1B2A4A"/>
          <w:sz w:val="16"/>
          <w:szCs w:val="16"/>
        </w:rPr>
        <w:t xml:space="preserve">    "stat1b": "Growing at 20% annually as RERA compliance drives developer adoption and digital property transaction infrastructure scales.",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PropTech mandate",</w:t>
      </w:r>
    </w:p>
    <w:p>
      <w:pPr>
        <w:shd w:fill="F0F0F0" w:val="clear"/>
        <w:spacing w:after="14" w:before="14"/>
        <w:ind w:left="360"/>
      </w:pPr>
      <w:r>
        <w:rPr>
          <w:rFonts w:ascii="Courier New" w:cs="Courier New" w:eastAsia="Courier New" w:hAnsi="Courier New"/>
          <w:color w:val="1B2A4A"/>
          <w:sz w:val="16"/>
          <w:szCs w:val="16"/>
        </w:rPr>
        <w:t xml:space="preserve">    "stat2b": "Real estate developers, property agents, and smart city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PropTech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RERA compliance mapping and developer demand research delivers India PropTech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"southeast-asia-healthcare-technology",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"healthtech",</w:t>
      </w:r>
    </w:p>
    <w:p>
      <w:pPr>
        <w:shd w:fill="F0F0F0" w:val="clear"/>
        <w:spacing w:after="14" w:before="14"/>
        <w:ind w:left="360"/>
      </w:pPr>
      <w:r>
        <w:rPr>
          <w:rFonts w:ascii="Courier New" w:cs="Courier New" w:eastAsia="Courier New" w:hAnsi="Courier New"/>
          <w:color w:val="1B2A4A"/>
          <w:sz w:val="16"/>
          <w:szCs w:val="16"/>
        </w:rPr>
        <w:t xml:space="preserve">    "title": "Southeast Asia Healthcare Technology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healthcare technology companies enter Southeast Asia with market entry strategy, regulatory mapping, hospital GTM, and partner identification across Indonesia, Vietnam, Thailand, and Philippines.",</w:t>
      </w:r>
    </w:p>
    <w:p>
      <w:pPr>
        <w:shd w:fill="F0F0F0" w:val="clear"/>
        <w:spacing w:after="14" w:before="14"/>
        <w:ind w:left="360"/>
      </w:pPr>
      <w:r>
        <w:rPr>
          <w:rFonts w:ascii="Courier New" w:cs="Courier New" w:eastAsia="Courier New" w:hAnsi="Courier New"/>
          <w:color w:val="1B2A4A"/>
          <w:sz w:val="16"/>
          <w:szCs w:val="16"/>
        </w:rPr>
        <w:t xml:space="preserve">    "h1": "Southeast Asia healthcare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health technology to Southeast Asian hospital deployment — strategy for healthtech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healthcare technology market is growing at extraordinary speed — driven by rapidly expanding private healthcare infrastructure, post-pandemic telemedicine adoption, significant government digital health investment, and healthcare workforce shortages that create demand for technology-enabled care delivery. International healthcare IT companies, medical device technology businesses, clinical AI providers, and digital health platforms are all evaluating Southeast Asia market entry. GreyRadius helps healthtech companies navigate the regulatory and cultural diversity of Southeast Asian healthcare markets to validate demand and execute entry.",</w:t>
      </w:r>
    </w:p>
    <w:p>
      <w:pPr>
        <w:shd w:fill="F0F0F0" w:val="clear"/>
        <w:spacing w:after="14" w:before="14"/>
        <w:ind w:left="360"/>
      </w:pPr>
      <w:r>
        <w:rPr>
          <w:rFonts w:ascii="Courier New" w:cs="Courier New" w:eastAsia="Courier New" w:hAnsi="Courier New"/>
          <w:color w:val="1B2A4A"/>
          <w:sz w:val="16"/>
          <w:szCs w:val="16"/>
        </w:rPr>
        <w:t xml:space="preserve">    "market_timing": "Healthcare system investment across Southeast Asia is at a multi-decade high — Vietnam's hospital construction programme, Indonesia's JKN national health insurance expansion, Thailand's medical tourism infrastructure investment, and Philippines' universal healthcare implementation are all creating specific healthtech procurement opportunities in 2024–2028.",</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digital health market is projected to reach $40B by 2027 — growing at 22% annually as telemedicine adoption, hospital digitalisation, and national health insurance expansion all accelerate.",</w:t>
      </w:r>
    </w:p>
    <w:p>
      <w:pPr>
        <w:shd w:fill="F0F0F0" w:val="clear"/>
        <w:spacing w:after="14" w:before="14"/>
        <w:ind w:left="360"/>
      </w:pPr>
      <w:r>
        <w:rPr>
          <w:rFonts w:ascii="Courier New" w:cs="Courier New" w:eastAsia="Courier New" w:hAnsi="Courier New"/>
          <w:color w:val="1B2A4A"/>
          <w:sz w:val="16"/>
          <w:szCs w:val="16"/>
        </w:rPr>
        <w:t xml:space="preserve">      "Indonesia's JKN national health insurance with 240 million members is creating the largest single healthcare data ecosystem in Southeast Asia — creating healthtech integration and analytics opportunities.",</w:t>
      </w:r>
    </w:p>
    <w:p>
      <w:pPr>
        <w:shd w:fill="F0F0F0" w:val="clear"/>
        <w:spacing w:after="14" w:before="14"/>
        <w:ind w:left="360"/>
      </w:pPr>
      <w:r>
        <w:rPr>
          <w:rFonts w:ascii="Courier New" w:cs="Courier New" w:eastAsia="Courier New" w:hAnsi="Courier New"/>
          <w:color w:val="1B2A4A"/>
          <w:sz w:val="16"/>
          <w:szCs w:val="16"/>
        </w:rPr>
        <w:t xml:space="preserve">      "Vietnam's hospital construction programme is creating significant hospital information system and medical equipment technology procurement across 1,200+ new beds annually.",</w:t>
      </w:r>
    </w:p>
    <w:p>
      <w:pPr>
        <w:shd w:fill="F0F0F0" w:val="clear"/>
        <w:spacing w:after="14" w:before="14"/>
        <w:ind w:left="360"/>
      </w:pPr>
      <w:r>
        <w:rPr>
          <w:rFonts w:ascii="Courier New" w:cs="Courier New" w:eastAsia="Courier New" w:hAnsi="Courier New"/>
          <w:color w:val="1B2A4A"/>
          <w:sz w:val="16"/>
          <w:szCs w:val="16"/>
        </w:rPr>
        <w:t xml:space="preserve">      "Thailand's medical tourism leadership is driving premium healthtech adoption — hospitals competing for international patients are investing in technology-enabled quality and patient experience at scale."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"Regulatory classification of digital health products varies across ASEAN — each country has different medical device rules, telemedicine regulations, and health data privacy requirements.",</w:t>
      </w:r>
    </w:p>
    <w:p>
      <w:pPr>
        <w:shd w:fill="F0F0F0" w:val="clear"/>
        <w:spacing w:after="14" w:before="14"/>
        <w:ind w:left="360"/>
      </w:pPr>
      <w:r>
        <w:rPr>
          <w:rFonts w:ascii="Courier New" w:cs="Courier New" w:eastAsia="Courier New" w:hAnsi="Courier New"/>
          <w:color w:val="1B2A4A"/>
          <w:sz w:val="16"/>
          <w:szCs w:val="16"/>
        </w:rPr>
        <w:t xml:space="preserve">      "Hospital IT infrastructure quality varies dramatically — Singapore hospitals operate at global standards while rural Indonesian and Philippine hospitals have basic IT infrastructure requiring solution adaptation.",</w:t>
      </w:r>
    </w:p>
    <w:p>
      <w:pPr>
        <w:shd w:fill="F0F0F0" w:val="clear"/>
        <w:spacing w:after="14" w:before="14"/>
        <w:ind w:left="360"/>
      </w:pPr>
      <w:r>
        <w:rPr>
          <w:rFonts w:ascii="Courier New" w:cs="Courier New" w:eastAsia="Courier New" w:hAnsi="Courier New"/>
          <w:color w:val="1B2A4A"/>
          <w:sz w:val="16"/>
          <w:szCs w:val="16"/>
        </w:rPr>
        <w:t xml:space="preserve">      "Healthcare professional shortage affects healthtech adoption — countries with the greatest healthtech need often have the least capacity to implement and manage new technology systems.",</w:t>
      </w:r>
    </w:p>
    <w:p>
      <w:pPr>
        <w:shd w:fill="F0F0F0" w:val="clear"/>
        <w:spacing w:after="14" w:before="14"/>
        <w:ind w:left="360"/>
      </w:pPr>
      <w:r>
        <w:rPr>
          <w:rFonts w:ascii="Courier New" w:cs="Courier New" w:eastAsia="Courier New" w:hAnsi="Courier New"/>
          <w:color w:val="1B2A4A"/>
          <w:sz w:val="16"/>
          <w:szCs w:val="16"/>
        </w:rPr>
        <w:t xml:space="preserve">      "Health data privacy regulation is evolving rapidly — PDPA in Thailand, Indonesia's Personal Data Protection Law, and Vietnam's data localisation requirements all affect health data platform architecture."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healthtech market prioritisation|You need to identify which ASEAN markets offer the best combination of healthtech demand, regulatory framework, and hospital infrastructure for your product.",</w:t>
      </w:r>
    </w:p>
    <w:p>
      <w:pPr>
        <w:shd w:fill="F0F0F0" w:val="clear"/>
        <w:spacing w:after="14" w:before="14"/>
        <w:ind w:left="360"/>
      </w:pPr>
      <w:r>
        <w:rPr>
          <w:rFonts w:ascii="Courier New" w:cs="Courier New" w:eastAsia="Courier New" w:hAnsi="Courier New"/>
          <w:color w:val="1B2A4A"/>
          <w:sz w:val="16"/>
          <w:szCs w:val="16"/>
        </w:rPr>
        <w:t xml:space="preserve">      "Country-specific regulatory classification and pathway|You need to understand medical device registration, telemedicine licensing, and health data requirements in each target market.",</w:t>
      </w:r>
    </w:p>
    <w:p>
      <w:pPr>
        <w:shd w:fill="F0F0F0" w:val="clear"/>
        <w:spacing w:after="14" w:before="14"/>
        <w:ind w:left="360"/>
      </w:pPr>
      <w:r>
        <w:rPr>
          <w:rFonts w:ascii="Courier New" w:cs="Courier New" w:eastAsia="Courier New" w:hAnsi="Courier New"/>
          <w:color w:val="1B2A4A"/>
          <w:sz w:val="16"/>
          <w:szCs w:val="16"/>
        </w:rPr>
        <w:t xml:space="preserve">      "Hospital system GTM strategy for Southeast Asia|You need a go-to-market plan covering private hospital chain acquisition, government hospital tender strategy, and clinical champion development.",</w:t>
      </w:r>
    </w:p>
    <w:p>
      <w:pPr>
        <w:shd w:fill="F0F0F0" w:val="clear"/>
        <w:spacing w:after="14" w:before="14"/>
        <w:ind w:left="360"/>
      </w:pPr>
      <w:r>
        <w:rPr>
          <w:rFonts w:ascii="Courier New" w:cs="Courier New" w:eastAsia="Courier New" w:hAnsi="Courier New"/>
          <w:color w:val="1B2A4A"/>
          <w:sz w:val="16"/>
          <w:szCs w:val="16"/>
        </w:rPr>
        <w:t xml:space="preserve">      "Southeast Asia healthtech partner identification|You need hospital group technology buyers, clinical validation partners, and health insurance integration partners.",</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healthtech|You need a pitch book grounded in ASEAN health market demand data.",</w:t>
      </w:r>
    </w:p>
    <w:p>
      <w:pPr>
        <w:shd w:fill="F0F0F0" w:val="clear"/>
        <w:spacing w:after="14" w:before="14"/>
        <w:ind w:left="360"/>
      </w:pPr>
      <w:r>
        <w:rPr>
          <w:rFonts w:ascii="Courier New" w:cs="Courier New" w:eastAsia="Courier New" w:hAnsi="Courier New"/>
          <w:color w:val="1B2A4A"/>
          <w:sz w:val="16"/>
          <w:szCs w:val="16"/>
        </w:rPr>
        <w:t xml:space="preserve">      "Government health programme access|You need to identify national health insurance and government digitalisation programme opportunities."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hospital and patient demand across priority Southeast Asian markets with primary research and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healthtech investment covering country-specific regulatory cost and adoption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healthtech market entry including regulatory pathways and hospital partner identification per market.",</w:t>
      </w:r>
    </w:p>
    <w:p>
      <w:pPr>
        <w:shd w:fill="F0F0F0" w:val="clear"/>
        <w:spacing w:after="14" w:before="14"/>
        <w:ind w:left="360"/>
      </w:pPr>
      <w:r>
        <w:rPr>
          <w:rFonts w:ascii="Courier New" w:cs="Courier New" w:eastAsia="Courier New" w:hAnsi="Courier New"/>
          <w:color w:val="1B2A4A"/>
          <w:sz w:val="16"/>
          <w:szCs w:val="16"/>
        </w:rPr>
        <w:t xml:space="preserve">      "Embedded Southeast Asia healthtech GTM team covering hospital and government health outreach across markets.",</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healthtech with ASEAN health market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local language clinical documentation to AI diagnostics adapted for Southeast Asian disease burden."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hospital IT companies or also with medical device, AI diagnostics, and telemedicine companies in Southeast Asia?|All healthcare technology categories.",</w:t>
      </w:r>
    </w:p>
    <w:p>
      <w:pPr>
        <w:shd w:fill="F0F0F0" w:val="clear"/>
        <w:spacing w:after="14" w:before="14"/>
        <w:ind w:left="360"/>
      </w:pPr>
      <w:r>
        <w:rPr>
          <w:rFonts w:ascii="Courier New" w:cs="Courier New" w:eastAsia="Courier New" w:hAnsi="Courier New"/>
          <w:color w:val="1B2A4A"/>
          <w:sz w:val="16"/>
          <w:szCs w:val="16"/>
        </w:rPr>
        <w:t xml:space="preserve">      "Which Southeast Asian markets does GreyRadius prioritise for healthtech?|Indonesia and Vietnam for volume, Thailand and Singapore for premium and medical tourism deployments.",</w:t>
      </w:r>
    </w:p>
    <w:p>
      <w:pPr>
        <w:shd w:fill="F0F0F0" w:val="clear"/>
        <w:spacing w:after="14" w:before="14"/>
        <w:ind w:left="360"/>
      </w:pPr>
      <w:r>
        <w:rPr>
          <w:rFonts w:ascii="Courier New" w:cs="Courier New" w:eastAsia="Courier New" w:hAnsi="Courier New"/>
          <w:color w:val="1B2A4A"/>
          <w:sz w:val="16"/>
          <w:szCs w:val="16"/>
        </w:rPr>
        <w:t xml:space="preserve">      "How long does a Southeast Asia healthtech engagement take?|Typically 8–12 weeks for multi-market research and regulatory mapping.",</w:t>
      </w:r>
    </w:p>
    <w:p>
      <w:pPr>
        <w:shd w:fill="F0F0F0" w:val="clear"/>
        <w:spacing w:after="14" w:before="14"/>
        <w:ind w:left="360"/>
      </w:pPr>
      <w:r>
        <w:rPr>
          <w:rFonts w:ascii="Courier New" w:cs="Courier New" w:eastAsia="Courier New" w:hAnsi="Courier New"/>
          <w:color w:val="1B2A4A"/>
          <w:sz w:val="16"/>
          <w:szCs w:val="16"/>
        </w:rPr>
        <w:t xml:space="preserve">      "Can GreyRadius identify hospital chain technology buyers across ASEAN?|Yes — hospital group technology buyer identification is core to our Southeast Asia healthtech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healthtech market entry, Indonesia digital health GTM strategy, Vietnam hospital IT consulting, ASEAN medical technology advisory, Southeast Asia telemedicine market entry",</w:t>
      </w:r>
    </w:p>
    <w:p>
      <w:pPr>
        <w:shd w:fill="F0F0F0" w:val="clear"/>
        <w:spacing w:after="14" w:before="14"/>
        <w:ind w:left="360"/>
      </w:pPr>
      <w:r>
        <w:rPr>
          <w:rFonts w:ascii="Courier New" w:cs="Courier New" w:eastAsia="Courier New" w:hAnsi="Courier New"/>
          <w:color w:val="1B2A4A"/>
          <w:sz w:val="16"/>
          <w:szCs w:val="16"/>
        </w:rPr>
        <w:t xml:space="preserve">    "regions": "Indonesia, Vietnam, Thailand, Philippines, Malaysia, Singapore",</w:t>
      </w:r>
    </w:p>
    <w:p>
      <w:pPr>
        <w:shd w:fill="F0F0F0" w:val="clear"/>
        <w:spacing w:after="14" w:before="14"/>
        <w:ind w:left="360"/>
      </w:pPr>
      <w:r>
        <w:rPr>
          <w:rFonts w:ascii="Courier New" w:cs="Courier New" w:eastAsia="Courier New" w:hAnsi="Courier New"/>
          <w:color w:val="1B2A4A"/>
          <w:sz w:val="16"/>
          <w:szCs w:val="16"/>
        </w:rPr>
        <w:t xml:space="preserve">    "stat1n": "$40B",</w:t>
      </w:r>
    </w:p>
    <w:p>
      <w:pPr>
        <w:shd w:fill="F0F0F0" w:val="clear"/>
        <w:spacing w:after="14" w:before="14"/>
        <w:ind w:left="360"/>
      </w:pPr>
      <w:r>
        <w:rPr>
          <w:rFonts w:ascii="Courier New" w:cs="Courier New" w:eastAsia="Courier New" w:hAnsi="Courier New"/>
          <w:color w:val="1B2A4A"/>
          <w:sz w:val="16"/>
          <w:szCs w:val="16"/>
        </w:rPr>
        <w:t xml:space="preserve">    "stat1l": "Southeast Asia digital health market by 2027",</w:t>
      </w:r>
    </w:p>
    <w:p>
      <w:pPr>
        <w:shd w:fill="F0F0F0" w:val="clear"/>
        <w:spacing w:after="14" w:before="14"/>
        <w:ind w:left="360"/>
      </w:pPr>
      <w:r>
        <w:rPr>
          <w:rFonts w:ascii="Courier New" w:cs="Courier New" w:eastAsia="Courier New" w:hAnsi="Courier New"/>
          <w:color w:val="1B2A4A"/>
          <w:sz w:val="16"/>
          <w:szCs w:val="16"/>
        </w:rPr>
        <w:t xml:space="preserve">    "stat1b": "Growing at 22% annually as telemedicine adoption, hospital digitalisation, and national health insurance expansion all accelerate.",</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healthtech mandate",</w:t>
      </w:r>
    </w:p>
    <w:p>
      <w:pPr>
        <w:shd w:fill="F0F0F0" w:val="clear"/>
        <w:spacing w:after="14" w:before="14"/>
        <w:ind w:left="360"/>
      </w:pPr>
      <w:r>
        <w:rPr>
          <w:rFonts w:ascii="Courier New" w:cs="Courier New" w:eastAsia="Courier New" w:hAnsi="Courier New"/>
          <w:color w:val="1B2A4A"/>
          <w:sz w:val="16"/>
          <w:szCs w:val="16"/>
        </w:rPr>
        <w:t xml:space="preserve">    "stat2b": "Hospital CIOs, clinical department heads, and health regulators across ASEAN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"Southeast Asia healthcare technology market entry",</w:t>
      </w:r>
    </w:p>
    <w:p>
      <w:pPr>
        <w:shd w:fill="F0F0F0" w:val="clear"/>
        <w:spacing w:after="14" w:before="14"/>
        <w:ind w:left="360"/>
      </w:pPr>
      <w:r>
        <w:rPr>
          <w:rFonts w:ascii="Courier New" w:cs="Courier New" w:eastAsia="Courier New" w:hAnsi="Courier New"/>
          <w:color w:val="1B2A4A"/>
          <w:sz w:val="16"/>
          <w:szCs w:val="16"/>
        </w:rPr>
        <w:t xml:space="preserve">    "stat3b": "AI-augmented multi-market hospital demand mapping delivers Southeast Asia healthtech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"india-b2b-marketplace",</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"ecommerce-tech",</w:t>
      </w:r>
    </w:p>
    <w:p>
      <w:pPr>
        <w:shd w:fill="F0F0F0" w:val="clear"/>
        <w:spacing w:after="14" w:before="14"/>
        <w:ind w:left="360"/>
      </w:pPr>
      <w:r>
        <w:rPr>
          <w:rFonts w:ascii="Courier New" w:cs="Courier New" w:eastAsia="Courier New" w:hAnsi="Courier New"/>
          <w:color w:val="1B2A4A"/>
          <w:sz w:val="16"/>
          <w:szCs w:val="16"/>
        </w:rPr>
        <w:t xml:space="preserve">    "title": "India B2B Marketplace &amp; Industrial E-Commerce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B2B marketplace companies and industrial e-commerce businesses enter India with market entry strategy, supplier demand validation, enterprise buyer research, and fundraising support.",</w:t>
      </w:r>
    </w:p>
    <w:p>
      <w:pPr>
        <w:shd w:fill="F0F0F0" w:val="clear"/>
        <w:spacing w:after="14" w:before="14"/>
        <w:ind w:left="360"/>
      </w:pPr>
      <w:r>
        <w:rPr>
          <w:rFonts w:ascii="Courier New" w:cs="Courier New" w:eastAsia="Courier New" w:hAnsi="Courier New"/>
          <w:color w:val="1B2A4A"/>
          <w:sz w:val="16"/>
          <w:szCs w:val="16"/>
        </w:rPr>
        <w:t xml:space="preserve">    "h1": "India B2B marketplace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B2B platform to Indian enterprise procurement — strategy for B2B marketplace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B2B marketplace market is growing at extraordinary speed — with industrial procurement, agricultural inputs, construction materials, pharmaceutical wholesale, and MRO supply chains all transitioning from offline to digital. International B2B marketplace operators, procurement platform companies, and industrial e-commerce businesses are all evaluating India as a high-growth B2B commerce destination. The Indian government's ONDC network is also extending into B2B commerce creating open infrastructure that marketplace companies can leverage. GreyRadius helps B2B marketplace companies validate Indian buyer and supplier demand, identify anchor community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"India's B2B e-commerce market is growing at 30% annually from a low base — most B2B procurement in India still happens offline through traditional distributor and broker networks creating a massive digitisation opportunity. ONDC's B2B extension and government e-procurement mandates are both accelerating the shift to digital B2B commerce. The B2B marketplace companies establishing Indian supplier and buyer relationships in 2024–2027 will capture foundational market positions.",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B2B e-commerce market is projected to reach $100B by 2027 — growing at 30% annually as SME and enterprise procurement digitisation accelerates across industrial, agricultural, and pharmaceutical sectors.",</w:t>
      </w:r>
    </w:p>
    <w:p>
      <w:pPr>
        <w:shd w:fill="F0F0F0" w:val="clear"/>
        <w:spacing w:after="14" w:before="14"/>
        <w:ind w:left="360"/>
      </w:pPr>
      <w:r>
        <w:rPr>
          <w:rFonts w:ascii="Courier New" w:cs="Courier New" w:eastAsia="Courier New" w:hAnsi="Courier New"/>
          <w:color w:val="1B2A4A"/>
          <w:sz w:val="16"/>
          <w:szCs w:val="16"/>
        </w:rPr>
        <w:t xml:space="preserve">      "Agricultural B2B marketplaces are growing fastest — eNAM and private agricultural commodity marketplaces are demonstrating that India's 150 million farmers can be connected to buyers digitally.",</w:t>
      </w:r>
    </w:p>
    <w:p>
      <w:pPr>
        <w:shd w:fill="F0F0F0" w:val="clear"/>
        <w:spacing w:after="14" w:before="14"/>
        <w:ind w:left="360"/>
      </w:pPr>
      <w:r>
        <w:rPr>
          <w:rFonts w:ascii="Courier New" w:cs="Courier New" w:eastAsia="Courier New" w:hAnsi="Courier New"/>
          <w:color w:val="1B2A4A"/>
          <w:sz w:val="16"/>
          <w:szCs w:val="16"/>
        </w:rPr>
        <w:t xml:space="preserve">      "Pharmaceutical B2B is growing at 25% annually — pharma wholesale is transitioning to digital platforms with Pharmeasy's B2B business and Medkart creating digital prescription medicine wholesale.",</w:t>
      </w:r>
    </w:p>
    <w:p>
      <w:pPr>
        <w:shd w:fill="F0F0F0" w:val="clear"/>
        <w:spacing w:after="14" w:before="14"/>
        <w:ind w:left="360"/>
      </w:pPr>
      <w:r>
        <w:rPr>
          <w:rFonts w:ascii="Courier New" w:cs="Courier New" w:eastAsia="Courier New" w:hAnsi="Courier New"/>
          <w:color w:val="1B2A4A"/>
          <w:sz w:val="16"/>
          <w:szCs w:val="16"/>
        </w:rPr>
        <w:t xml:space="preserve">      "Industrial MRO procurement is digitalising — maintenance, repair, and operations procurement for India's growing manufacturing sector is transitioning to digital platforms at significant scale."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"Supply-demand bootstrapping is the classic marketplace challenge in India — Indian B2B marketplaces need sufficient supplier selection to attract buyers and sufficient buyer volume to attract quality suppliers simultaneously.",</w:t>
      </w:r>
    </w:p>
    <w:p>
      <w:pPr>
        <w:shd w:fill="F0F0F0" w:val="clear"/>
        <w:spacing w:after="14" w:before="14"/>
        <w:ind w:left="360"/>
      </w:pPr>
      <w:r>
        <w:rPr>
          <w:rFonts w:ascii="Courier New" w:cs="Courier New" w:eastAsia="Courier New" w:hAnsi="Courier New"/>
          <w:color w:val="1B2A4A"/>
          <w:sz w:val="16"/>
          <w:szCs w:val="16"/>
        </w:rPr>
        <w:t xml:space="preserve">      "Trust and credit infrastructure for B2B transactions requires development — Indian SME buyers require trade credit, escrow, or payment protection alternatives before committing to digital procurement.",</w:t>
      </w:r>
    </w:p>
    <w:p>
      <w:pPr>
        <w:shd w:fill="F0F0F0" w:val="clear"/>
        <w:spacing w:after="14" w:before="14"/>
        <w:ind w:left="360"/>
      </w:pPr>
      <w:r>
        <w:rPr>
          <w:rFonts w:ascii="Courier New" w:cs="Courier New" w:eastAsia="Courier New" w:hAnsi="Courier New"/>
          <w:color w:val="1B2A4A"/>
          <w:sz w:val="16"/>
          <w:szCs w:val="16"/>
        </w:rPr>
        <w:t xml:space="preserve">      "Logistics and last-mile delivery for B2B goods is fragmented — connecting marketplace transactions to reliable delivery requires either building logistics capability or partnering with fragmented providers.",</w:t>
      </w:r>
    </w:p>
    <w:p>
      <w:pPr>
        <w:shd w:fill="F0F0F0" w:val="clear"/>
        <w:spacing w:after="14" w:before="14"/>
        <w:ind w:left="360"/>
      </w:pPr>
      <w:r>
        <w:rPr>
          <w:rFonts w:ascii="Courier New" w:cs="Courier New" w:eastAsia="Courier New" w:hAnsi="Courier New"/>
          <w:color w:val="1B2A4A"/>
          <w:sz w:val="16"/>
          <w:szCs w:val="16"/>
        </w:rPr>
        <w:t xml:space="preserve">      "Supplier digitisation is a significant challenge — many B2B suppliers in India lack the digital infrastructure to manage online inventory, pricing, and order management systems."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B2B marketplace demand validation|You need to validate that sufficient buyer demand and supplier supply exist in your target sector and geography to support B2B marketplace economics in India.",</w:t>
      </w:r>
    </w:p>
    <w:p>
      <w:pPr>
        <w:shd w:fill="F0F0F0" w:val="clear"/>
        <w:spacing w:after="14" w:before="14"/>
        <w:ind w:left="360"/>
      </w:pPr>
      <w:r>
        <w:rPr>
          <w:rFonts w:ascii="Courier New" w:cs="Courier New" w:eastAsia="Courier New" w:hAnsi="Courier New"/>
          <w:color w:val="1B2A4A"/>
          <w:sz w:val="16"/>
          <w:szCs w:val="16"/>
        </w:rPr>
        <w:t xml:space="preserve">      "Vertical and category focus strategy|You need to identify which Indian B2B sector — agriculture, pharma wholesale, construction, industrial — offers the best supply-demand dynamics and defensibility.",</w:t>
      </w:r>
    </w:p>
    <w:p>
      <w:pPr>
        <w:shd w:fill="F0F0F0" w:val="clear"/>
        <w:spacing w:after="14" w:before="14"/>
        <w:ind w:left="360"/>
      </w:pPr>
      <w:r>
        <w:rPr>
          <w:rFonts w:ascii="Courier New" w:cs="Courier New" w:eastAsia="Courier New" w:hAnsi="Courier New"/>
          <w:color w:val="1B2A4A"/>
          <w:sz w:val="16"/>
          <w:szCs w:val="16"/>
        </w:rPr>
        <w:t xml:space="preserve">      "India B2B marketplace GTM strategy|You need a go-to-market plan covering anchor buyer and supplier community acquisition and first-GMV milestone planning.",</w:t>
      </w:r>
    </w:p>
    <w:p>
      <w:pPr>
        <w:shd w:fill="F0F0F0" w:val="clear"/>
        <w:spacing w:after="14" w:before="14"/>
        <w:ind w:left="360"/>
      </w:pPr>
      <w:r>
        <w:rPr>
          <w:rFonts w:ascii="Courier New" w:cs="Courier New" w:eastAsia="Courier New" w:hAnsi="Courier New"/>
          <w:color w:val="1B2A4A"/>
          <w:sz w:val="16"/>
          <w:szCs w:val="16"/>
        </w:rPr>
        <w:t xml:space="preserve">      "Anchor community and distribution partner identification|You need industry associations, cooperative networks, and wholesale distributors as anchor supply and demand communities.",</w:t>
      </w:r>
    </w:p>
    <w:p>
      <w:pPr>
        <w:shd w:fill="F0F0F0" w:val="clear"/>
        <w:spacing w:after="14" w:before="14"/>
        <w:ind w:left="360"/>
      </w:pPr>
      <w:r>
        <w:rPr>
          <w:rFonts w:ascii="Courier New" w:cs="Courier New" w:eastAsia="Courier New" w:hAnsi="Courier New"/>
          <w:color w:val="1B2A4A"/>
          <w:sz w:val="16"/>
          <w:szCs w:val="16"/>
        </w:rPr>
        <w:t xml:space="preserve">      "Raising capital for India B2B marketplace|You need a pitch book grounded in India B2B commerce market data and vertical demand analysis.",</w:t>
      </w:r>
    </w:p>
    <w:p>
      <w:pPr>
        <w:shd w:fill="F0F0F0" w:val="clear"/>
        <w:spacing w:after="14" w:before="14"/>
        <w:ind w:left="360"/>
      </w:pPr>
      <w:r>
        <w:rPr>
          <w:rFonts w:ascii="Courier New" w:cs="Courier New" w:eastAsia="Courier New" w:hAnsi="Courier New"/>
          <w:color w:val="1B2A4A"/>
          <w:sz w:val="16"/>
          <w:szCs w:val="16"/>
        </w:rPr>
        <w:t xml:space="preserve">      "ONDC B2B integration strategy|You need a strategy for integrating with India's ONDC network to access open B2B commerce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B2B buyer and supplier demand in your target vertical with primary research and supply-demand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B2B marketplace investment covering GMV modelling and take rate economics.",</w:t>
      </w:r>
    </w:p>
    <w:p>
      <w:pPr>
        <w:shd w:fill="F0F0F0" w:val="clear"/>
        <w:spacing w:after="14" w:before="14"/>
        <w:ind w:left="360"/>
      </w:pPr>
      <w:r>
        <w:rPr>
          <w:rFonts w:ascii="Courier New" w:cs="Courier New" w:eastAsia="Courier New" w:hAnsi="Courier New"/>
          <w:color w:val="1B2A4A"/>
          <w:sz w:val="16"/>
          <w:szCs w:val="16"/>
        </w:rPr>
        <w:t xml:space="preserve">      "End-to-end India B2B marketplace market entry including vertical selection, anchor community identification, and first-GMV milestone.",</w:t>
      </w:r>
    </w:p>
    <w:p>
      <w:pPr>
        <w:shd w:fill="F0F0F0" w:val="clear"/>
        <w:spacing w:after="14" w:before="14"/>
        <w:ind w:left="360"/>
      </w:pPr>
      <w:r>
        <w:rPr>
          <w:rFonts w:ascii="Courier New" w:cs="Courier New" w:eastAsia="Courier New" w:hAnsi="Courier New"/>
          <w:color w:val="1B2A4A"/>
          <w:sz w:val="16"/>
          <w:szCs w:val="16"/>
        </w:rPr>
        <w:t xml:space="preserve">      "Embedded India B2B GTM team covering buyer and supplier acquisition and anchor community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B2B marketplace with vertical demand narrative and ONDC opportunity.",</w:t>
      </w:r>
    </w:p>
    <w:p>
      <w:pPr>
        <w:shd w:fill="F0F0F0" w:val="clear"/>
        <w:spacing w:after="14" w:before="14"/>
        <w:ind w:left="360"/>
      </w:pPr>
      <w:r>
        <w:rPr>
          <w:rFonts w:ascii="Courier New" w:cs="Courier New" w:eastAsia="Courier New" w:hAnsi="Courier New"/>
          <w:color w:val="1B2A4A"/>
          <w:sz w:val="16"/>
          <w:szCs w:val="16"/>
        </w:rPr>
        <w:t xml:space="preserve">      "AI use-case identification — from B2B product matching and demand forecasting to credit scoring and fraud detection."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horizontal B2B marketplaces or also with vertical category-specific platforms entering India?|Both — we work with horizontal procurement platforms and with vertical B2B marketplaces in agriculture, pharma, construction, and industrial.",</w:t>
      </w:r>
    </w:p>
    <w:p>
      <w:pPr>
        <w:shd w:fill="F0F0F0" w:val="clear"/>
        <w:spacing w:after="14" w:before="14"/>
        <w:ind w:left="360"/>
      </w:pPr>
      <w:r>
        <w:rPr>
          <w:rFonts w:ascii="Courier New" w:cs="Courier New" w:eastAsia="Courier New" w:hAnsi="Courier New"/>
          <w:color w:val="1B2A4A"/>
          <w:sz w:val="16"/>
          <w:szCs w:val="16"/>
        </w:rPr>
        <w:t xml:space="preserve">      "How long does an India B2B marketplace market entry engagement take?|Typically 6–10 weeks for buyer and supplier demand research, vertical selection, and anchor community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anchor buyer and supplier communities for India B2B marketplaces?|Yes — anchor community identification is core to our India B2B marketplace market entry service.",</w:t>
      </w:r>
    </w:p>
    <w:p>
      <w:pPr>
        <w:shd w:fill="F0F0F0" w:val="clear"/>
        <w:spacing w:after="14" w:before="14"/>
        <w:ind w:left="360"/>
      </w:pPr>
      <w:r>
        <w:rPr>
          <w:rFonts w:ascii="Courier New" w:cs="Courier New" w:eastAsia="Courier New" w:hAnsi="Courier New"/>
          <w:color w:val="1B2A4A"/>
          <w:sz w:val="16"/>
          <w:szCs w:val="16"/>
        </w:rPr>
        <w:t xml:space="preserve">      "How does ONDC change B2B marketplace entry strategy in India?|ONDC provides open B2B commerce infrastructure reducing the need to build proprietary buyer-supplier matching from scratch — we assess ONDC integration strategy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B2B marketplace market entry, India industrial ecommerce GTM strategy, India procurement platform consulting, India B2B commerce advisory, India industrial marketplace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Pune, Chennai plus sector-specific agricultural and industrial hubs",</w:t>
      </w:r>
    </w:p>
    <w:p>
      <w:pPr>
        <w:shd w:fill="F0F0F0" w:val="clear"/>
        <w:spacing w:after="14" w:before="14"/>
        <w:ind w:left="360"/>
      </w:pPr>
      <w:r>
        <w:rPr>
          <w:rFonts w:ascii="Courier New" w:cs="Courier New" w:eastAsia="Courier New" w:hAnsi="Courier New"/>
          <w:color w:val="1B2A4A"/>
          <w:sz w:val="16"/>
          <w:szCs w:val="16"/>
        </w:rPr>
        <w:t xml:space="preserve">    "stat1n": "$100B",</w:t>
      </w:r>
    </w:p>
    <w:p>
      <w:pPr>
        <w:shd w:fill="F0F0F0" w:val="clear"/>
        <w:spacing w:after="14" w:before="14"/>
        <w:ind w:left="360"/>
      </w:pPr>
      <w:r>
        <w:rPr>
          <w:rFonts w:ascii="Courier New" w:cs="Courier New" w:eastAsia="Courier New" w:hAnsi="Courier New"/>
          <w:color w:val="1B2A4A"/>
          <w:sz w:val="16"/>
          <w:szCs w:val="16"/>
        </w:rPr>
        <w:t xml:space="preserve">    "stat1l": "India B2B e-commerce market by 2027",</w:t>
      </w:r>
    </w:p>
    <w:p>
      <w:pPr>
        <w:shd w:fill="F0F0F0" w:val="clear"/>
        <w:spacing w:after="14" w:before="14"/>
        <w:ind w:left="360"/>
      </w:pPr>
      <w:r>
        <w:rPr>
          <w:rFonts w:ascii="Courier New" w:cs="Courier New" w:eastAsia="Courier New" w:hAnsi="Courier New"/>
          <w:color w:val="1B2A4A"/>
          <w:sz w:val="16"/>
          <w:szCs w:val="16"/>
        </w:rPr>
        <w:t xml:space="preserve">    "stat1b": "Growing at 30% annually as SME and enterprise procurement digitisation accelerates across industrial, agricultural, and pharmaceutical sectors.",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B2B marketplace mandate",</w:t>
      </w:r>
    </w:p>
    <w:p>
      <w:pPr>
        <w:shd w:fill="F0F0F0" w:val="clear"/>
        <w:spacing w:after="14" w:before="14"/>
        <w:ind w:left="360"/>
      </w:pPr>
      <w:r>
        <w:rPr>
          <w:rFonts w:ascii="Courier New" w:cs="Courier New" w:eastAsia="Courier New" w:hAnsi="Courier New"/>
          <w:color w:val="1B2A4A"/>
          <w:sz w:val="16"/>
          <w:szCs w:val="16"/>
        </w:rPr>
        <w:t xml:space="preserve">    "stat2b": "Indian enterprise procurement managers, SME buyers, and supplier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B2B marketplace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buyer-supplier demand mapping and vertical analysis delivers India B2B marketplace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"gulf-construction-market-entry",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"proptech",</w:t>
      </w:r>
    </w:p>
    <w:p>
      <w:pPr>
        <w:shd w:fill="F0F0F0" w:val="clear"/>
        <w:spacing w:after="14" w:before="14"/>
        <w:ind w:left="360"/>
      </w:pPr>
      <w:r>
        <w:rPr>
          <w:rFonts w:ascii="Courier New" w:cs="Courier New" w:eastAsia="Courier New" w:hAnsi="Courier New"/>
          <w:color w:val="1B2A4A"/>
          <w:sz w:val="16"/>
          <w:szCs w:val="16"/>
        </w:rPr>
        <w:t xml:space="preserve">    "title": "Gulf Construction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construction companies, building material suppliers, and construction technology businesses enter Gulf markets with market entry strategy, regulatory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"h1": "Gulf construction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construction capability to Gulf project contract — strategy for construction businesses entering the GCC.",</w:t>
      </w:r>
    </w:p>
    <w:p>
      <w:pPr>
        <w:shd w:fill="F0F0F0" w:val="clear"/>
        <w:spacing w:after="14" w:before="14"/>
        <w:ind w:left="360"/>
      </w:pPr>
      <w:r>
        <w:rPr>
          <w:rFonts w:ascii="Courier New" w:cs="Courier New" w:eastAsia="Courier New" w:hAnsi="Courier New"/>
          <w:color w:val="1B2A4A"/>
          <w:sz w:val="16"/>
          <w:szCs w:val="16"/>
        </w:rPr>
        <w:t xml:space="preserve">    "hero": "The Gulf construction market is the world's most active — with Saudi Arabia's NEOM, Red Sea Project, Diriyah, and 200+ Vision 2030 infrastructure projects collectively representing the largest construction programme in human history, UAE's sustained commercial and residential construction, Qatar's post-World Cup infrastructure maintenance, and Oman's Duqm development all creating extraordinary demand for construction companies, building material suppliers, construction technology providers, and engineering services firms. GreyRadius helps construction businesses validate Gulf project demand, navigate regulatory and contractor requirements, identify local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Vision 2030 construction pipeline is the single largest market entry opportunity in global construction — NEOM alone requires 1.7 million workers and billions in materials, equipment, and services procurement annually through 2030. UAE's Expo 2020 legacy infrastructure continues to generate maintenance and upgrade procurement. The construction companies establishing Saudi and UAE relationships in 2024–2027 will be positioned for a decade of project work.",</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construction market is projected to reach $250B annually by 2028 — driven by Saudi Arabia's Vision 2030 mega-projects, UAE's sustained development, and Qatar's infrastructure maintenance.",</w:t>
      </w:r>
    </w:p>
    <w:p>
      <w:pPr>
        <w:shd w:fill="F0F0F0" w:val="clear"/>
        <w:spacing w:after="14" w:before="14"/>
        <w:ind w:left="360"/>
      </w:pPr>
      <w:r>
        <w:rPr>
          <w:rFonts w:ascii="Courier New" w:cs="Courier New" w:eastAsia="Courier New" w:hAnsi="Courier New"/>
          <w:color w:val="1B2A4A"/>
          <w:sz w:val="16"/>
          <w:szCs w:val="16"/>
        </w:rPr>
        <w:t xml:space="preserve">      "Saudi Arabia's NEOM project requires 1.7 million workers at peak — creating unprecedented demand for construction labour, equipment, materials, and technology across all construction categories.",</w:t>
      </w:r>
    </w:p>
    <w:p>
      <w:pPr>
        <w:shd w:fill="F0F0F0" w:val="clear"/>
        <w:spacing w:after="14" w:before="14"/>
        <w:ind w:left="360"/>
      </w:pPr>
      <w:r>
        <w:rPr>
          <w:rFonts w:ascii="Courier New" w:cs="Courier New" w:eastAsia="Courier New" w:hAnsi="Courier New"/>
          <w:color w:val="1B2A4A"/>
          <w:sz w:val="16"/>
          <w:szCs w:val="16"/>
        </w:rPr>
        <w:t xml:space="preserve">      "Construction technology adoption in Gulf projects is mandatory for major developments — BIM Level 2 compliance, project management software, and digital twin requirements are all specified in major Gulf contracts.",</w:t>
      </w:r>
    </w:p>
    <w:p>
      <w:pPr>
        <w:shd w:fill="F0F0F0" w:val="clear"/>
        <w:spacing w:after="14" w:before="14"/>
        <w:ind w:left="360"/>
      </w:pPr>
      <w:r>
        <w:rPr>
          <w:rFonts w:ascii="Courier New" w:cs="Courier New" w:eastAsia="Courier New" w:hAnsi="Courier New"/>
          <w:color w:val="1B2A4A"/>
          <w:sz w:val="16"/>
          <w:szCs w:val="16"/>
        </w:rPr>
        <w:t xml:space="preserve">      "Gulf local content requirements apply to construction procurement — Saudi Arabia's ICV programme and UAE's local content initiatives both affect construction supply chain sourcing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"Gulf construction contractor qualification is required before project award — major Gulf clients including NEOM, Red Sea Project, and ADNOC all require formal contractor pre-qualification processes.",</w:t>
      </w:r>
    </w:p>
    <w:p>
      <w:pPr>
        <w:shd w:fill="F0F0F0" w:val="clear"/>
        <w:spacing w:after="14" w:before="14"/>
        <w:ind w:left="360"/>
      </w:pPr>
      <w:r>
        <w:rPr>
          <w:rFonts w:ascii="Courier New" w:cs="Courier New" w:eastAsia="Courier New" w:hAnsi="Courier New"/>
          <w:color w:val="1B2A4A"/>
          <w:sz w:val="16"/>
          <w:szCs w:val="16"/>
        </w:rPr>
        <w:t xml:space="preserve">      "ICV and Saudisation requirements affect construction workforce planning — minimum Saudi national employment percentages in construction operations affect labour cost structures significantly.",</w:t>
      </w:r>
    </w:p>
    <w:p>
      <w:pPr>
        <w:shd w:fill="F0F0F0" w:val="clear"/>
        <w:spacing w:after="14" w:before="14"/>
        <w:ind w:left="360"/>
      </w:pPr>
      <w:r>
        <w:rPr>
          <w:rFonts w:ascii="Courier New" w:cs="Courier New" w:eastAsia="Courier New" w:hAnsi="Courier New"/>
          <w:color w:val="1B2A4A"/>
          <w:sz w:val="16"/>
          <w:szCs w:val="16"/>
        </w:rPr>
        <w:t xml:space="preserve">      "Payment terms in Gulf construction can be extended — milestone-based payment structures with retention amounts require significant working capital management from construction companies.",</w:t>
      </w:r>
    </w:p>
    <w:p>
      <w:pPr>
        <w:shd w:fill="F0F0F0" w:val="clear"/>
        <w:spacing w:after="14" w:before="14"/>
        <w:ind w:left="360"/>
      </w:pPr>
      <w:r>
        <w:rPr>
          <w:rFonts w:ascii="Courier New" w:cs="Courier New" w:eastAsia="Courier New" w:hAnsi="Courier New"/>
          <w:color w:val="1B2A4A"/>
          <w:sz w:val="16"/>
          <w:szCs w:val="16"/>
        </w:rPr>
        <w:t xml:space="preserve">      "Competition from established global construction contractors — Bechtel, Skanska, VINCI, and regional contractors — is intense across major Gulf project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construction project demand validation|You need to validate which Gulf construction programmes are actively procuring your construction capability, material, or technology.",</w:t>
      </w:r>
    </w:p>
    <w:p>
      <w:pPr>
        <w:shd w:fill="F0F0F0" w:val="clear"/>
        <w:spacing w:after="14" w:before="14"/>
        <w:ind w:left="360"/>
      </w:pPr>
      <w:r>
        <w:rPr>
          <w:rFonts w:ascii="Courier New" w:cs="Courier New" w:eastAsia="Courier New" w:hAnsi="Courier New"/>
          <w:color w:val="1B2A4A"/>
          <w:sz w:val="16"/>
          <w:szCs w:val="16"/>
        </w:rPr>
        <w:t xml:space="preserve">      "Contractor pre-qualification and regulatory pathway|You need to navigate NEOM, Red Sea Project, and ADNOC contractor pre-qualification and licensing requirements.",</w:t>
      </w:r>
    </w:p>
    <w:p>
      <w:pPr>
        <w:shd w:fill="F0F0F0" w:val="clear"/>
        <w:spacing w:after="14" w:before="14"/>
        <w:ind w:left="360"/>
      </w:pPr>
      <w:r>
        <w:rPr>
          <w:rFonts w:ascii="Courier New" w:cs="Courier New" w:eastAsia="Courier New" w:hAnsi="Courier New"/>
          <w:color w:val="1B2A4A"/>
          <w:sz w:val="16"/>
          <w:szCs w:val="16"/>
        </w:rPr>
        <w:t xml:space="preserve">      "Gulf construction local partner identification|You need Saudi and UAE joint venture partners, local subcontractors, and materials suppliers for Gulf market access.",</w:t>
      </w:r>
    </w:p>
    <w:p>
      <w:pPr>
        <w:shd w:fill="F0F0F0" w:val="clear"/>
        <w:spacing w:after="14" w:before="14"/>
        <w:ind w:left="360"/>
      </w:pPr>
      <w:r>
        <w:rPr>
          <w:rFonts w:ascii="Courier New" w:cs="Courier New" w:eastAsia="Courier New" w:hAnsi="Courier New"/>
          <w:color w:val="1B2A4A"/>
          <w:sz w:val="16"/>
          <w:szCs w:val="16"/>
        </w:rPr>
        <w:t xml:space="preserve">      "Gulf construction technology GTM|You have a BIM platform, construction management system, or building material innovation and need a Gulf go-to-market strategy.",</w:t>
      </w:r>
    </w:p>
    <w:p>
      <w:pPr>
        <w:shd w:fill="F0F0F0" w:val="clear"/>
        <w:spacing w:after="14" w:before="14"/>
        <w:ind w:left="360"/>
      </w:pPr>
      <w:r>
        <w:rPr>
          <w:rFonts w:ascii="Courier New" w:cs="Courier New" w:eastAsia="Courier New" w:hAnsi="Courier New"/>
          <w:color w:val="1B2A4A"/>
          <w:sz w:val="16"/>
          <w:szCs w:val="16"/>
        </w:rPr>
        <w:t xml:space="preserve">      "Raising capital for Gulf construction investment|You need a pitch book grounded in Gulf project pipeline data and Vision 2030 investment analysis.",</w:t>
      </w:r>
    </w:p>
    <w:p>
      <w:pPr>
        <w:shd w:fill="F0F0F0" w:val="clear"/>
        <w:spacing w:after="14" w:before="14"/>
        <w:ind w:left="360"/>
      </w:pPr>
      <w:r>
        <w:rPr>
          <w:rFonts w:ascii="Courier New" w:cs="Courier New" w:eastAsia="Courier New" w:hAnsi="Courier New"/>
          <w:color w:val="1B2A4A"/>
          <w:sz w:val="16"/>
          <w:szCs w:val="16"/>
        </w:rPr>
        <w:t xml:space="preserve">      "ICV and localisation strategy|You need an in-country value strategy for Gulf construction operations that meets regulatory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construction project demand for your capability with project pipeline mapping and procurement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construction investment covering ICV compliance and working capital requirements.",</w:t>
      </w:r>
    </w:p>
    <w:p>
      <w:pPr>
        <w:shd w:fill="F0F0F0" w:val="clear"/>
        <w:spacing w:after="14" w:before="14"/>
        <w:ind w:left="360"/>
      </w:pPr>
      <w:r>
        <w:rPr>
          <w:rFonts w:ascii="Courier New" w:cs="Courier New" w:eastAsia="Courier New" w:hAnsi="Courier New"/>
          <w:color w:val="1B2A4A"/>
          <w:sz w:val="16"/>
          <w:szCs w:val="16"/>
        </w:rPr>
        <w:t xml:space="preserve">      "End-to-end Gulf construction market entry including pre-qualification pathway, local partner identification, and first-project-contract milestone.",</w:t>
      </w:r>
    </w:p>
    <w:p>
      <w:pPr>
        <w:shd w:fill="F0F0F0" w:val="clear"/>
        <w:spacing w:after="14" w:before="14"/>
        <w:ind w:left="360"/>
      </w:pPr>
      <w:r>
        <w:rPr>
          <w:rFonts w:ascii="Courier New" w:cs="Courier New" w:eastAsia="Courier New" w:hAnsi="Courier New"/>
          <w:color w:val="1B2A4A"/>
          <w:sz w:val="16"/>
          <w:szCs w:val="16"/>
        </w:rPr>
        <w:t xml:space="preserve">      "Embedded Gulf construction GTM team covering NEOM, Red Sea, and UAE developer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construction investment with Vision 2030 project pipeline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BIM automation to predictive project scheduling and Gulf construction supply chain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construction contractors or also with building material suppliers and construction technology companies entering the Gulf?|All construction categories.",</w:t>
      </w:r>
    </w:p>
    <w:p>
      <w:pPr>
        <w:shd w:fill="F0F0F0" w:val="clear"/>
        <w:spacing w:after="14" w:before="14"/>
        <w:ind w:left="360"/>
      </w:pPr>
      <w:r>
        <w:rPr>
          <w:rFonts w:ascii="Courier New" w:cs="Courier New" w:eastAsia="Courier New" w:hAnsi="Courier New"/>
          <w:color w:val="1B2A4A"/>
          <w:sz w:val="16"/>
          <w:szCs w:val="16"/>
        </w:rPr>
        <w:t xml:space="preserve">      "Which Gulf construction markets does GreyRadius prioritise?|Saudi Arabia for the largest project pipeline, UAE for established development activity.",</w:t>
      </w:r>
    </w:p>
    <w:p>
      <w:pPr>
        <w:shd w:fill="F0F0F0" w:val="clear"/>
        <w:spacing w:after="14" w:before="14"/>
        <w:ind w:left="360"/>
      </w:pPr>
      <w:r>
        <w:rPr>
          <w:rFonts w:ascii="Courier New" w:cs="Courier New" w:eastAsia="Courier New" w:hAnsi="Courier New"/>
          <w:color w:val="1B2A4A"/>
          <w:sz w:val="16"/>
          <w:szCs w:val="16"/>
        </w:rPr>
        <w:t xml:space="preserve">      "How long does a Gulf construction market entry engagement take?|Typically 8–12 weeks for project pipeline mapping, pre-qualification research, and local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Gulf joint venture partners for construction companies?|Yes — local JV partner identification and initial commercial introductions are core to our Gulf construction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construction market entry, Saudi Arabia construction GTM strategy, NEOM contractor advisory, UAE construction consulting, GCC construction market entry, Gulf building materials strategy",</w:t>
      </w:r>
    </w:p>
    <w:p>
      <w:pPr>
        <w:shd w:fill="F0F0F0" w:val="clear"/>
        <w:spacing w:after="14" w:before="14"/>
        <w:ind w:left="360"/>
      </w:pPr>
      <w:r>
        <w:rPr>
          <w:rFonts w:ascii="Courier New" w:cs="Courier New" w:eastAsia="Courier New" w:hAnsi="Courier New"/>
          <w:color w:val="1B2A4A"/>
          <w:sz w:val="16"/>
          <w:szCs w:val="16"/>
        </w:rPr>
        <w:t xml:space="preserve">    "regions": "Saudi Arabia — NEOM, Red Sea Project, Diriyah, Riyadh; UAE — Dubai and Abu Dhabi; Qatar — Doha",</w:t>
      </w:r>
    </w:p>
    <w:p>
      <w:pPr>
        <w:shd w:fill="F0F0F0" w:val="clear"/>
        <w:spacing w:after="14" w:before="14"/>
        <w:ind w:left="360"/>
      </w:pPr>
      <w:r>
        <w:rPr>
          <w:rFonts w:ascii="Courier New" w:cs="Courier New" w:eastAsia="Courier New" w:hAnsi="Courier New"/>
          <w:color w:val="1B2A4A"/>
          <w:sz w:val="16"/>
          <w:szCs w:val="16"/>
        </w:rPr>
        <w:t xml:space="preserve">    "stat1n": "$250B",</w:t>
      </w:r>
    </w:p>
    <w:p>
      <w:pPr>
        <w:shd w:fill="F0F0F0" w:val="clear"/>
        <w:spacing w:after="14" w:before="14"/>
        <w:ind w:left="360"/>
      </w:pPr>
      <w:r>
        <w:rPr>
          <w:rFonts w:ascii="Courier New" w:cs="Courier New" w:eastAsia="Courier New" w:hAnsi="Courier New"/>
          <w:color w:val="1B2A4A"/>
          <w:sz w:val="16"/>
          <w:szCs w:val="16"/>
        </w:rPr>
        <w:t xml:space="preserve">    "stat1l": "Gulf construction market annually by 2028",</w:t>
      </w:r>
    </w:p>
    <w:p>
      <w:pPr>
        <w:shd w:fill="F0F0F0" w:val="clear"/>
        <w:spacing w:after="14" w:before="14"/>
        <w:ind w:left="360"/>
      </w:pPr>
      <w:r>
        <w:rPr>
          <w:rFonts w:ascii="Courier New" w:cs="Courier New" w:eastAsia="Courier New" w:hAnsi="Courier New"/>
          <w:color w:val="1B2A4A"/>
          <w:sz w:val="16"/>
          <w:szCs w:val="16"/>
        </w:rPr>
        <w:t xml:space="preserve">    "stat1b": "Saudi Arabia's Vision 2030 mega-projects, UAE's sustained development, and Qatar's infrastructure maintenance driving unprecedented construction demand.",</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construction mandate",</w:t>
      </w:r>
    </w:p>
    <w:p>
      <w:pPr>
        <w:shd w:fill="F0F0F0" w:val="clear"/>
        <w:spacing w:after="14" w:before="14"/>
        <w:ind w:left="360"/>
      </w:pPr>
      <w:r>
        <w:rPr>
          <w:rFonts w:ascii="Courier New" w:cs="Courier New" w:eastAsia="Courier New" w:hAnsi="Courier New"/>
          <w:color w:val="1B2A4A"/>
          <w:sz w:val="16"/>
          <w:szCs w:val="16"/>
        </w:rPr>
        <w:t xml:space="preserve">    "stat2b": "Gulf project developers, construction procurement heads, and Vision 2030 programme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construction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Gulf project pipeline mapping and pre-qualification research delivers Gulf construction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"india-mobility-market-entry",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"electric-vehicles",</w:t>
      </w:r>
    </w:p>
    <w:p>
      <w:pPr>
        <w:shd w:fill="F0F0F0" w:val="clear"/>
        <w:spacing w:after="14" w:before="14"/>
        <w:ind w:left="360"/>
      </w:pPr>
      <w:r>
        <w:rPr>
          <w:rFonts w:ascii="Courier New" w:cs="Courier New" w:eastAsia="Courier New" w:hAnsi="Courier New"/>
          <w:color w:val="1B2A4A"/>
          <w:sz w:val="16"/>
          <w:szCs w:val="16"/>
        </w:rPr>
        <w:t xml:space="preserve">    "title": "India Mobility &amp; Transportation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mobility technology companies, ride-hailing businesses, and transportation technology providers enter India with market entry strategy, regulatory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"h1": "India mobility and transportation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mobility technology to Indian commuter — strategy for mobility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mobility and transportation market is undergoing a fundamental transformation — with electric vehicle adoption accelerating, ride-hailing penetration growing across Tier 2 cities, EV charging infrastructure scaling, ONDC extending to mobility services, and smart city transportation investments creating new market opportunities. International mobility technology companies, ride-hailing operators, EV charging infrastructure businesses, fleet management technology providers, and transportation analytics companies are all evaluating India as a mobility investment destination. GreyRadius helps mobility companies validate Indian market demand, navigate regulatory requirements, identify partners, and execute entry.",</w:t>
      </w:r>
    </w:p>
    <w:p>
      <w:pPr>
        <w:shd w:fill="F0F0F0" w:val="clear"/>
        <w:spacing w:after="14" w:before="14"/>
        <w:ind w:left="360"/>
      </w:pPr>
      <w:r>
        <w:rPr>
          <w:rFonts w:ascii="Courier New" w:cs="Courier New" w:eastAsia="Courier New" w:hAnsi="Courier New"/>
          <w:color w:val="1B2A4A"/>
          <w:sz w:val="16"/>
          <w:szCs w:val="16"/>
        </w:rPr>
        <w:t xml:space="preserve">    "market_timing": "India's EV mobility market is growing at 50% annually — with FAME subsidies, PLI for battery manufacturing, and state-level EV policies all creating commercial conditions for EV two-wheeler, three-wheeler, and commercial vehicle electrification. India's ride-hailing market post-Ola and Rapido is creating a more competitive landscape that international mobility operators can enter. The mobility technology companies establishing Indian operator relationships in 2024–2027 will serve a mobility market of 1.4 billion people.",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mobility market is projected to reach $40B by 2027 — growing at 15% annually as EV adoption, ride-hailing expansion, and smart transportation investment all drive market growth.",</w:t>
      </w:r>
    </w:p>
    <w:p>
      <w:pPr>
        <w:shd w:fill="F0F0F0" w:val="clear"/>
        <w:spacing w:after="14" w:before="14"/>
        <w:ind w:left="360"/>
      </w:pPr>
      <w:r>
        <w:rPr>
          <w:rFonts w:ascii="Courier New" w:cs="Courier New" w:eastAsia="Courier New" w:hAnsi="Courier New"/>
          <w:color w:val="1B2A4A"/>
          <w:sz w:val="16"/>
          <w:szCs w:val="16"/>
        </w:rPr>
        <w:t xml:space="preserve">      "India's EV two-wheeler market grew 50% in 2023 — Ola Electric, Ather, and Bajaj are all scaling rapidly creating EV supply chain, technology, and charging infrastructure demand.",</w:t>
      </w:r>
    </w:p>
    <w:p>
      <w:pPr>
        <w:shd w:fill="F0F0F0" w:val="clear"/>
        <w:spacing w:after="14" w:before="14"/>
        <w:ind w:left="360"/>
      </w:pPr>
      <w:r>
        <w:rPr>
          <w:rFonts w:ascii="Courier New" w:cs="Courier New" w:eastAsia="Courier New" w:hAnsi="Courier New"/>
          <w:color w:val="1B2A4A"/>
          <w:sz w:val="16"/>
          <w:szCs w:val="16"/>
        </w:rPr>
        <w:t xml:space="preserve">      "India's commercial EV market is growing at 60% annually — electric three-wheelers and light commercial EVs are achieving rapid adoption driven by last-mile delivery fleet electrification mandates.",</w:t>
      </w:r>
    </w:p>
    <w:p>
      <w:pPr>
        <w:shd w:fill="F0F0F0" w:val="clear"/>
        <w:spacing w:after="14" w:before="14"/>
        <w:ind w:left="360"/>
      </w:pPr>
      <w:r>
        <w:rPr>
          <w:rFonts w:ascii="Courier New" w:cs="Courier New" w:eastAsia="Courier New" w:hAnsi="Courier New"/>
          <w:color w:val="1B2A4A"/>
          <w:sz w:val="16"/>
          <w:szCs w:val="16"/>
        </w:rPr>
        <w:t xml:space="preserve">      "India's ride-hailing market is growing at 25% annually — expanding beyond metro cities into Tier 2 and 3 cities as smartphone penetration and digital payment adoption increase."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"India's regulatory framework for mobility services is complex — aggregator licensing, EV charging infrastructure permits, and state-level transport regulations all vary creating multi-state compliance requirements.",</w:t>
      </w:r>
    </w:p>
    <w:p>
      <w:pPr>
        <w:shd w:fill="F0F0F0" w:val="clear"/>
        <w:spacing w:after="14" w:before="14"/>
        <w:ind w:left="360"/>
      </w:pPr>
      <w:r>
        <w:rPr>
          <w:rFonts w:ascii="Courier New" w:cs="Courier New" w:eastAsia="Courier New" w:hAnsi="Courier New"/>
          <w:color w:val="1B2A4A"/>
          <w:sz w:val="16"/>
          <w:szCs w:val="16"/>
        </w:rPr>
        <w:t xml:space="preserve">      "India's mobility market is intensely competitive — Ola, Uber, and Rapido dominate ride-hailing while Tata, Mahindra, and Bajaj dominate EV manufacturing with deep market knowledge.",</w:t>
      </w:r>
    </w:p>
    <w:p>
      <w:pPr>
        <w:shd w:fill="F0F0F0" w:val="clear"/>
        <w:spacing w:after="14" w:before="14"/>
        <w:ind w:left="360"/>
      </w:pPr>
      <w:r>
        <w:rPr>
          <w:rFonts w:ascii="Courier New" w:cs="Courier New" w:eastAsia="Courier New" w:hAnsi="Courier New"/>
          <w:color w:val="1B2A4A"/>
          <w:sz w:val="16"/>
          <w:szCs w:val="16"/>
        </w:rPr>
        <w:t xml:space="preserve">      "Infrastructure development is slow — EV charging network coverage outside major cities remains limited affecting EV mobility adoption in Tier 2 and 3 city markets.",</w:t>
      </w:r>
    </w:p>
    <w:p>
      <w:pPr>
        <w:shd w:fill="F0F0F0" w:val="clear"/>
        <w:spacing w:after="14" w:before="14"/>
        <w:ind w:left="360"/>
      </w:pPr>
      <w:r>
        <w:rPr>
          <w:rFonts w:ascii="Courier New" w:cs="Courier New" w:eastAsia="Courier New" w:hAnsi="Courier New"/>
          <w:color w:val="1B2A4A"/>
          <w:sz w:val="16"/>
          <w:szCs w:val="16"/>
        </w:rPr>
        <w:t xml:space="preserve">      "Price sensitivity is extreme — Indian mobility consumers are highly price-sensitive and will switch between platforms for Rs 10–20 fare differences reducing loyalty."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mobility market demand validation|You need to validate Indian consumer and operator demand for your mobility product including price sensitivity and regulatory compliance requirements.",</w:t>
      </w:r>
    </w:p>
    <w:p>
      <w:pPr>
        <w:shd w:fill="F0F0F0" w:val="clear"/>
        <w:spacing w:after="14" w:before="14"/>
        <w:ind w:left="360"/>
      </w:pPr>
      <w:r>
        <w:rPr>
          <w:rFonts w:ascii="Courier New" w:cs="Courier New" w:eastAsia="Courier New" w:hAnsi="Courier New"/>
          <w:color w:val="1B2A4A"/>
          <w:sz w:val="16"/>
          <w:szCs w:val="16"/>
        </w:rPr>
        <w:t xml:space="preserve">      "India mobility regulatory pathway|You need to understand aggregator licensing, EV charging permits, and state-level transport regulation requirements for your mobility business.",</w:t>
      </w:r>
    </w:p>
    <w:p>
      <w:pPr>
        <w:shd w:fill="F0F0F0" w:val="clear"/>
        <w:spacing w:after="14" w:before="14"/>
        <w:ind w:left="360"/>
      </w:pPr>
      <w:r>
        <w:rPr>
          <w:rFonts w:ascii="Courier New" w:cs="Courier New" w:eastAsia="Courier New" w:hAnsi="Courier New"/>
          <w:color w:val="1B2A4A"/>
          <w:sz w:val="16"/>
          <w:szCs w:val="16"/>
        </w:rPr>
        <w:t xml:space="preserve">      "India mobility partner identification|You need ride-hailing operators, fleet owners, EV manufacturers, and charging infrastructure operators as commercial partners.",</w:t>
      </w:r>
    </w:p>
    <w:p>
      <w:pPr>
        <w:shd w:fill="F0F0F0" w:val="clear"/>
        <w:spacing w:after="14" w:before="14"/>
        <w:ind w:left="360"/>
      </w:pPr>
      <w:r>
        <w:rPr>
          <w:rFonts w:ascii="Courier New" w:cs="Courier New" w:eastAsia="Courier New" w:hAnsi="Courier New"/>
          <w:color w:val="1B2A4A"/>
          <w:sz w:val="16"/>
          <w:szCs w:val="16"/>
        </w:rPr>
        <w:t xml:space="preserve">      "India mobility GTM strategy|You need a go-to-market plan covering operator acquisition, consumer marketing, and first-fleet-deployment milestone.",</w:t>
      </w:r>
    </w:p>
    <w:p>
      <w:pPr>
        <w:shd w:fill="F0F0F0" w:val="clear"/>
        <w:spacing w:after="14" w:before="14"/>
        <w:ind w:left="360"/>
      </w:pPr>
      <w:r>
        <w:rPr>
          <w:rFonts w:ascii="Courier New" w:cs="Courier New" w:eastAsia="Courier New" w:hAnsi="Courier New"/>
          <w:color w:val="1B2A4A"/>
          <w:sz w:val="16"/>
          <w:szCs w:val="16"/>
        </w:rPr>
        <w:t xml:space="preserve">      "Raising capital for India mobility investment|You need a pitch book grounded in India mobility market data and EV adoption analysis.",</w:t>
      </w:r>
    </w:p>
    <w:p>
      <w:pPr>
        <w:shd w:fill="F0F0F0" w:val="clear"/>
        <w:spacing w:after="14" w:before="14"/>
        <w:ind w:left="360"/>
      </w:pPr>
      <w:r>
        <w:rPr>
          <w:rFonts w:ascii="Courier New" w:cs="Courier New" w:eastAsia="Courier New" w:hAnsi="Courier New"/>
          <w:color w:val="1B2A4A"/>
          <w:sz w:val="16"/>
          <w:szCs w:val="16"/>
        </w:rPr>
        <w:t xml:space="preserve">      "EV charging infrastructure strategy|You need a site selection, regulatory approval, and operator partnership strategy for EV charging infrastructure deployment in India."</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consumer and operator demand for your mobility product with primary research across urban and Tier 2 markets.",</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mobility investment covering regulatory compliance and infrastructure cost.",</w:t>
      </w:r>
    </w:p>
    <w:p>
      <w:pPr>
        <w:shd w:fill="F0F0F0" w:val="clear"/>
        <w:spacing w:after="14" w:before="14"/>
        <w:ind w:left="360"/>
      </w:pPr>
      <w:r>
        <w:rPr>
          <w:rFonts w:ascii="Courier New" w:cs="Courier New" w:eastAsia="Courier New" w:hAnsi="Courier New"/>
          <w:color w:val="1B2A4A"/>
          <w:sz w:val="16"/>
          <w:szCs w:val="16"/>
        </w:rPr>
        <w:t xml:space="preserve">      "End-to-end India mobility market entry including regulatory pathway, operator partner identification, and first-deployment milestone.",</w:t>
      </w:r>
    </w:p>
    <w:p>
      <w:pPr>
        <w:shd w:fill="F0F0F0" w:val="clear"/>
        <w:spacing w:after="14" w:before="14"/>
        <w:ind w:left="360"/>
      </w:pPr>
      <w:r>
        <w:rPr>
          <w:rFonts w:ascii="Courier New" w:cs="Courier New" w:eastAsia="Courier New" w:hAnsi="Courier New"/>
          <w:color w:val="1B2A4A"/>
          <w:sz w:val="16"/>
          <w:szCs w:val="16"/>
        </w:rPr>
        <w:t xml:space="preserve">      "Embedded India mobility GTM team covering operator and consumer acquisition.",</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mobility investment with EV adoption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route optimisation for Indian city traffic patterns to EV battery health monitoring and predictive fleet maintenance."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ride-hailing companies or also with EV technology, fleet management, and charging infrastructure companies entering India?|All mobility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mobility market entry engagement take?|Typically 6–10 weeks for consumer demand research, regulatory mapping, and operator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fleet owner and mobility operator partners for mobility technology companies in India?|Yes — operator and fleet partner identification are core to our India mobility market entry service.",</w:t>
      </w:r>
    </w:p>
    <w:p>
      <w:pPr>
        <w:shd w:fill="F0F0F0" w:val="clear"/>
        <w:spacing w:after="14" w:before="14"/>
        <w:ind w:left="360"/>
      </w:pPr>
      <w:r>
        <w:rPr>
          <w:rFonts w:ascii="Courier New" w:cs="Courier New" w:eastAsia="Courier New" w:hAnsi="Courier New"/>
          <w:color w:val="1B2A4A"/>
          <w:sz w:val="16"/>
          <w:szCs w:val="16"/>
        </w:rPr>
        <w:t xml:space="preserve">      "How does India's FAME scheme affect EV mobility market entry strategy?|FAME subsidies significantly improve EV economics — we model FAME impact in every India EV mobility feasibility assessment."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mobility market entry, India EV GTM strategy, India ride-hailing consulting, India transportation technology advisory, India EV charging market entry, India fleet management strategy",</w:t>
      </w:r>
    </w:p>
    <w:p>
      <w:pPr>
        <w:shd w:fill="F0F0F0" w:val="clear"/>
        <w:spacing w:after="14" w:before="14"/>
        <w:ind w:left="360"/>
      </w:pPr>
      <w:r>
        <w:rPr>
          <w:rFonts w:ascii="Courier New" w:cs="Courier New" w:eastAsia="Courier New" w:hAnsi="Courier New"/>
          <w:color w:val="1B2A4A"/>
          <w:sz w:val="16"/>
          <w:szCs w:val="16"/>
        </w:rPr>
        <w:t xml:space="preserve">    "regions": "India — Delhi NCR, Mumbai, Bengaluru, Hyderabad, Pune, Chennai, Tier 2 cities",</w:t>
      </w:r>
    </w:p>
    <w:p>
      <w:pPr>
        <w:shd w:fill="F0F0F0" w:val="clear"/>
        <w:spacing w:after="14" w:before="14"/>
        <w:ind w:left="360"/>
      </w:pPr>
      <w:r>
        <w:rPr>
          <w:rFonts w:ascii="Courier New" w:cs="Courier New" w:eastAsia="Courier New" w:hAnsi="Courier New"/>
          <w:color w:val="1B2A4A"/>
          <w:sz w:val="16"/>
          <w:szCs w:val="16"/>
        </w:rPr>
        <w:t xml:space="preserve">    "stat1n": "$40B",</w:t>
      </w:r>
    </w:p>
    <w:p>
      <w:pPr>
        <w:shd w:fill="F0F0F0" w:val="clear"/>
        <w:spacing w:after="14" w:before="14"/>
        <w:ind w:left="360"/>
      </w:pPr>
      <w:r>
        <w:rPr>
          <w:rFonts w:ascii="Courier New" w:cs="Courier New" w:eastAsia="Courier New" w:hAnsi="Courier New"/>
          <w:color w:val="1B2A4A"/>
          <w:sz w:val="16"/>
          <w:szCs w:val="16"/>
        </w:rPr>
        <w:t xml:space="preserve">    "stat1l": "India mobility market by 2027",</w:t>
      </w:r>
    </w:p>
    <w:p>
      <w:pPr>
        <w:shd w:fill="F0F0F0" w:val="clear"/>
        <w:spacing w:after="14" w:before="14"/>
        <w:ind w:left="360"/>
      </w:pPr>
      <w:r>
        <w:rPr>
          <w:rFonts w:ascii="Courier New" w:cs="Courier New" w:eastAsia="Courier New" w:hAnsi="Courier New"/>
          <w:color w:val="1B2A4A"/>
          <w:sz w:val="16"/>
          <w:szCs w:val="16"/>
        </w:rPr>
        <w:t xml:space="preserve">    "stat1b": "Growing at 15% annually as EV adoption, ride-hailing expansion, and smart transportation investment all drive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mobility mandate",</w:t>
      </w:r>
    </w:p>
    <w:p>
      <w:pPr>
        <w:shd w:fill="F0F0F0" w:val="clear"/>
        <w:spacing w:after="14" w:before="14"/>
        <w:ind w:left="360"/>
      </w:pPr>
      <w:r>
        <w:rPr>
          <w:rFonts w:ascii="Courier New" w:cs="Courier New" w:eastAsia="Courier New" w:hAnsi="Courier New"/>
          <w:color w:val="1B2A4A"/>
          <w:sz w:val="16"/>
          <w:szCs w:val="16"/>
        </w:rPr>
        <w:t xml:space="preserve">    "stat2b": "Indian consumers, fleet operators, and mobility technology buyers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mobility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operator demand research delivers India mobility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"india-fintech-infrastructure",</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"fintech-payments",</w:t>
      </w:r>
    </w:p>
    <w:p>
      <w:pPr>
        <w:shd w:fill="F0F0F0" w:val="clear"/>
        <w:spacing w:after="14" w:before="14"/>
        <w:ind w:left="360"/>
      </w:pPr>
      <w:r>
        <w:rPr>
          <w:rFonts w:ascii="Courier New" w:cs="Courier New" w:eastAsia="Courier New" w:hAnsi="Courier New"/>
          <w:color w:val="1B2A4A"/>
          <w:sz w:val="16"/>
          <w:szCs w:val="16"/>
        </w:rPr>
        <w:t xml:space="preserve">    "title": "India Fintech Infrastructure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fintech infrastructure companies, payment technology businesses, and B2B financial services providers enter India with market entry strategy, RBI regulatory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"h1": "India fintech infrastructure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payment technology to Indian financial rails — strategy for fintech infrastructure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fintech infrastructure market is one of the world's most significant — built on UPI's 10 billion monthly transactions, Account Aggregator's financial data sharing, ONDC's commerce network, and the government's India Stack digital public infrastructure. International fintech infrastructure companies across payment processing, banking technology, core banking systems, lending infrastructure, and financial data analytics are all evaluating India as a strategic market. GreyRadius helps fintech infrastructure companies validate Indian bank and enterprise demand, navigate RBI regulatory requirements, identify bank and fintech partner channels, and raise capital.",</w:t>
      </w:r>
    </w:p>
    <w:p>
      <w:pPr>
        <w:shd w:fill="F0F0F0" w:val="clear"/>
        <w:spacing w:after="14" w:before="14"/>
        <w:ind w:left="360"/>
      </w:pPr>
      <w:r>
        <w:rPr>
          <w:rFonts w:ascii="Courier New" w:cs="Courier New" w:eastAsia="Courier New" w:hAnsi="Courier New"/>
          <w:color w:val="1B2A4A"/>
          <w:sz w:val="16"/>
          <w:szCs w:val="16"/>
        </w:rPr>
        <w:t xml:space="preserve">    "market_timing": "India's Account Aggregator framework is creating new fintech infrastructure demand — banks, NBFCs, and fintechs all need technology to consume and provide financial data through the AA framework creating significant infrastructure procurement. RBI's regulatory sandbox has approved dozens of fintech innovations creating commercial pathways for international fintech infrastructure companies to test and scale in India.",</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banking technology market is projected to reach $20B by 2027 — growing at 15% annually as core banking modernisation, digital channel investment, and Account Aggregator integration all drive procurement.",</w:t>
      </w:r>
    </w:p>
    <w:p>
      <w:pPr>
        <w:shd w:fill="F0F0F0" w:val="clear"/>
        <w:spacing w:after="14" w:before="14"/>
        <w:ind w:left="360"/>
      </w:pPr>
      <w:r>
        <w:rPr>
          <w:rFonts w:ascii="Courier New" w:cs="Courier New" w:eastAsia="Courier New" w:hAnsi="Courier New"/>
          <w:color w:val="1B2A4A"/>
          <w:sz w:val="16"/>
          <w:szCs w:val="16"/>
        </w:rPr>
        <w:t xml:space="preserve">      "India has 1,500+ banks and NBFCs — creating a large institutional buyer base for banking technology, with smaller cooperative banks and NBFCs significantly underserved by existing technology vendors.",</w:t>
      </w:r>
    </w:p>
    <w:p>
      <w:pPr>
        <w:shd w:fill="F0F0F0" w:val="clear"/>
        <w:spacing w:after="14" w:before="14"/>
        <w:ind w:left="360"/>
      </w:pPr>
      <w:r>
        <w:rPr>
          <w:rFonts w:ascii="Courier New" w:cs="Courier New" w:eastAsia="Courier New" w:hAnsi="Courier New"/>
          <w:color w:val="1B2A4A"/>
          <w:sz w:val="16"/>
          <w:szCs w:val="16"/>
        </w:rPr>
        <w:t xml:space="preserve">      "UPI's 10 billion monthly transactions require significant payment processing infrastructure — transaction monitoring, fraud detection, and settlement technology are all in significant demand from payment service providers.",</w:t>
      </w:r>
    </w:p>
    <w:p>
      <w:pPr>
        <w:shd w:fill="F0F0F0" w:val="clear"/>
        <w:spacing w:after="14" w:before="14"/>
        <w:ind w:left="360"/>
      </w:pPr>
      <w:r>
        <w:rPr>
          <w:rFonts w:ascii="Courier New" w:cs="Courier New" w:eastAsia="Courier New" w:hAnsi="Courier New"/>
          <w:color w:val="1B2A4A"/>
          <w:sz w:val="16"/>
          <w:szCs w:val="16"/>
        </w:rPr>
        <w:t xml:space="preserve">      "Account Aggregator is creating a new data-driven lending infrastructure — alternative credit scoring, income verification, and financial health analytics are all becoming viable through AA data access."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"RBI banking technology regulations are stringent — core banking systems, payment processing, and customer data storage all face specific RBI IT framework requirements that affect system architecture.",</w:t>
      </w:r>
    </w:p>
    <w:p>
      <w:pPr>
        <w:shd w:fill="F0F0F0" w:val="clear"/>
        <w:spacing w:after="14" w:before="14"/>
        <w:ind w:left="360"/>
      </w:pPr>
      <w:r>
        <w:rPr>
          <w:rFonts w:ascii="Courier New" w:cs="Courier New" w:eastAsia="Courier New" w:hAnsi="Courier New"/>
          <w:color w:val="1B2A4A"/>
          <w:sz w:val="16"/>
          <w:szCs w:val="16"/>
        </w:rPr>
        <w:t xml:space="preserve">      "Bank procurement is conservative and relationship-driven — Indian bank technology decisions involve multiple stakeholders and take 12–24 months from first engagement to contract.",</w:t>
      </w:r>
    </w:p>
    <w:p>
      <w:pPr>
        <w:shd w:fill="F0F0F0" w:val="clear"/>
        <w:spacing w:after="14" w:before="14"/>
        <w:ind w:left="360"/>
      </w:pPr>
      <w:r>
        <w:rPr>
          <w:rFonts w:ascii="Courier New" w:cs="Courier New" w:eastAsia="Courier New" w:hAnsi="Courier New"/>
          <w:color w:val="1B2A4A"/>
          <w:sz w:val="16"/>
          <w:szCs w:val="16"/>
        </w:rPr>
        <w:t xml:space="preserve">      "Indian banking market is price-sensitive — international core banking and technology pricing needs India-specific adaptation to compete with established Indian vendors like Infosys Finacle and TCS BaNCS.",</w:t>
      </w:r>
    </w:p>
    <w:p>
      <w:pPr>
        <w:shd w:fill="F0F0F0" w:val="clear"/>
        <w:spacing w:after="14" w:before="14"/>
        <w:ind w:left="360"/>
      </w:pPr>
      <w:r>
        <w:rPr>
          <w:rFonts w:ascii="Courier New" w:cs="Courier New" w:eastAsia="Courier New" w:hAnsi="Courier New"/>
          <w:color w:val="1B2A4A"/>
          <w:sz w:val="16"/>
          <w:szCs w:val="16"/>
        </w:rPr>
        <w:t xml:space="preserve">      "Integration with India Stack — UPI, Aadhaar, AA, and ONDC — requires significant product development investment before commercial launch in India."</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fintech infrastructure demand validation|You need to validate bank and NBFC demand for your fintech infrastructure product and what RBI compliance and India Stack integration requirements apply.",</w:t>
      </w:r>
    </w:p>
    <w:p>
      <w:pPr>
        <w:shd w:fill="F0F0F0" w:val="clear"/>
        <w:spacing w:after="14" w:before="14"/>
        <w:ind w:left="360"/>
      </w:pPr>
      <w:r>
        <w:rPr>
          <w:rFonts w:ascii="Courier New" w:cs="Courier New" w:eastAsia="Courier New" w:hAnsi="Courier New"/>
          <w:color w:val="1B2A4A"/>
          <w:sz w:val="16"/>
          <w:szCs w:val="16"/>
        </w:rPr>
        <w:t xml:space="preserve">      "RBI regulatory and compliance pathway|You need to understand RBI IT framework requirements, payment aggregator licensing, and banking data regulations for your product.",</w:t>
      </w:r>
    </w:p>
    <w:p>
      <w:pPr>
        <w:shd w:fill="F0F0F0" w:val="clear"/>
        <w:spacing w:after="14" w:before="14"/>
        <w:ind w:left="360"/>
      </w:pPr>
      <w:r>
        <w:rPr>
          <w:rFonts w:ascii="Courier New" w:cs="Courier New" w:eastAsia="Courier New" w:hAnsi="Courier New"/>
          <w:color w:val="1B2A4A"/>
          <w:sz w:val="16"/>
          <w:szCs w:val="16"/>
        </w:rPr>
        <w:t xml:space="preserve">      "India bank and fintech partner identification|You need bank technology buyers, NBFC procurement heads, and fintech platform partners as customers and distribution channels.",</w:t>
      </w:r>
    </w:p>
    <w:p>
      <w:pPr>
        <w:shd w:fill="F0F0F0" w:val="clear"/>
        <w:spacing w:after="14" w:before="14"/>
        <w:ind w:left="360"/>
      </w:pPr>
      <w:r>
        <w:rPr>
          <w:rFonts w:ascii="Courier New" w:cs="Courier New" w:eastAsia="Courier New" w:hAnsi="Courier New"/>
          <w:color w:val="1B2A4A"/>
          <w:sz w:val="16"/>
          <w:szCs w:val="16"/>
        </w:rPr>
        <w:t xml:space="preserve">      "India fintech infrastructure GTM strategy|You need a go-to-market plan covering bank, NBFC, and fintech platform acquisition in India.",</w:t>
      </w:r>
    </w:p>
    <w:p>
      <w:pPr>
        <w:shd w:fill="F0F0F0" w:val="clear"/>
        <w:spacing w:after="14" w:before="14"/>
        <w:ind w:left="360"/>
      </w:pPr>
      <w:r>
        <w:rPr>
          <w:rFonts w:ascii="Courier New" w:cs="Courier New" w:eastAsia="Courier New" w:hAnsi="Courier New"/>
          <w:color w:val="1B2A4A"/>
          <w:sz w:val="16"/>
          <w:szCs w:val="16"/>
        </w:rPr>
        <w:t xml:space="preserve">      "Raising capital for India fintech infrastructure|You need a pitch book grounded in India banking technology market data and India Stack integration opportunity.",</w:t>
      </w:r>
    </w:p>
    <w:p>
      <w:pPr>
        <w:shd w:fill="F0F0F0" w:val="clear"/>
        <w:spacing w:after="14" w:before="14"/>
        <w:ind w:left="360"/>
      </w:pPr>
      <w:r>
        <w:rPr>
          <w:rFonts w:ascii="Courier New" w:cs="Courier New" w:eastAsia="Courier New" w:hAnsi="Courier New"/>
          <w:color w:val="1B2A4A"/>
          <w:sz w:val="16"/>
          <w:szCs w:val="16"/>
        </w:rPr>
        <w:t xml:space="preserve">      "India Stack integration strategy|You need a technical and commercial strategy for integrating with UPI, AA, and ONDC to make your product India-market-ready."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bank and NBFC demand for your fintech infrastructure product with primary research and RBI compliance landscape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fintech infrastructure investment covering India pricing and RBI compliance cost.",</w:t>
      </w:r>
    </w:p>
    <w:p>
      <w:pPr>
        <w:shd w:fill="F0F0F0" w:val="clear"/>
        <w:spacing w:after="14" w:before="14"/>
        <w:ind w:left="360"/>
      </w:pPr>
      <w:r>
        <w:rPr>
          <w:rFonts w:ascii="Courier New" w:cs="Courier New" w:eastAsia="Courier New" w:hAnsi="Courier New"/>
          <w:color w:val="1B2A4A"/>
          <w:sz w:val="16"/>
          <w:szCs w:val="16"/>
        </w:rPr>
        <w:t xml:space="preserve">      "End-to-end India fintech infrastructure market entry including RBI pathway, bank partner identification, and first-deployment milestone.",</w:t>
      </w:r>
    </w:p>
    <w:p>
      <w:pPr>
        <w:shd w:fill="F0F0F0" w:val="clear"/>
        <w:spacing w:after="14" w:before="14"/>
        <w:ind w:left="360"/>
      </w:pPr>
      <w:r>
        <w:rPr>
          <w:rFonts w:ascii="Courier New" w:cs="Courier New" w:eastAsia="Courier New" w:hAnsi="Courier New"/>
          <w:color w:val="1B2A4A"/>
          <w:sz w:val="16"/>
          <w:szCs w:val="16"/>
        </w:rPr>
        <w:t xml:space="preserve">      "Embedded India fintech infrastructure GTM team covering bank and NBFC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fintech infrastructure investment with India Stack opportunity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UPI fraud detection to Account Aggregator-powered credit scoring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core banking technology companies or also with payment processing, lending infrastructure, and financial data companies entering India?|All fintech infrastructure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fintech infrastructure market entry engagement take?|Typically 8–12 weeks for bank demand research, RBI regulatory mapping, and India Stack integration strategy.",</w:t>
      </w:r>
    </w:p>
    <w:p>
      <w:pPr>
        <w:shd w:fill="F0F0F0" w:val="clear"/>
        <w:spacing w:after="14" w:before="14"/>
        <w:ind w:left="360"/>
      </w:pPr>
      <w:r>
        <w:rPr>
          <w:rFonts w:ascii="Courier New" w:cs="Courier New" w:eastAsia="Courier New" w:hAnsi="Courier New"/>
          <w:color w:val="1B2A4A"/>
          <w:sz w:val="16"/>
          <w:szCs w:val="16"/>
        </w:rPr>
        <w:t xml:space="preserve">      "Can GreyRadius identify Indian bank and NBFC technology buyers?|Yes — bank technology procurement head identification and initial commercial conversations are core to our India fintech infrastructure service.",</w:t>
      </w:r>
    </w:p>
    <w:p>
      <w:pPr>
        <w:shd w:fill="F0F0F0" w:val="clear"/>
        <w:spacing w:after="14" w:before="14"/>
        <w:ind w:left="360"/>
      </w:pPr>
      <w:r>
        <w:rPr>
          <w:rFonts w:ascii="Courier New" w:cs="Courier New" w:eastAsia="Courier New" w:hAnsi="Courier New"/>
          <w:color w:val="1B2A4A"/>
          <w:sz w:val="16"/>
          <w:szCs w:val="16"/>
        </w:rPr>
        <w:t xml:space="preserve">      "How does India Stack change fintech infrastructure market entry strategy?|India Stack creates open financial infrastructure that international fintech technology must integrate with to be commercially viable — we develop the India Stack integration strategy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fintech infrastructure market entry, India banking technology GTM strategy, India payment infrastructure consulting, RBI regulatory advisory, India core banking market entry, India Stack integration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Pune",</w:t>
      </w:r>
    </w:p>
    <w:p>
      <w:pPr>
        <w:shd w:fill="F0F0F0" w:val="clear"/>
        <w:spacing w:after="14" w:before="14"/>
        <w:ind w:left="360"/>
      </w:pPr>
      <w:r>
        <w:rPr>
          <w:rFonts w:ascii="Courier New" w:cs="Courier New" w:eastAsia="Courier New" w:hAnsi="Courier New"/>
          <w:color w:val="1B2A4A"/>
          <w:sz w:val="16"/>
          <w:szCs w:val="16"/>
        </w:rPr>
        <w:t xml:space="preserve">    "stat1n": "$20B",</w:t>
      </w:r>
    </w:p>
    <w:p>
      <w:pPr>
        <w:shd w:fill="F0F0F0" w:val="clear"/>
        <w:spacing w:after="14" w:before="14"/>
        <w:ind w:left="360"/>
      </w:pPr>
      <w:r>
        <w:rPr>
          <w:rFonts w:ascii="Courier New" w:cs="Courier New" w:eastAsia="Courier New" w:hAnsi="Courier New"/>
          <w:color w:val="1B2A4A"/>
          <w:sz w:val="16"/>
          <w:szCs w:val="16"/>
        </w:rPr>
        <w:t xml:space="preserve">    "stat1l": "India banking technology market by 2027",</w:t>
      </w:r>
    </w:p>
    <w:p>
      <w:pPr>
        <w:shd w:fill="F0F0F0" w:val="clear"/>
        <w:spacing w:after="14" w:before="14"/>
        <w:ind w:left="360"/>
      </w:pPr>
      <w:r>
        <w:rPr>
          <w:rFonts w:ascii="Courier New" w:cs="Courier New" w:eastAsia="Courier New" w:hAnsi="Courier New"/>
          <w:color w:val="1B2A4A"/>
          <w:sz w:val="16"/>
          <w:szCs w:val="16"/>
        </w:rPr>
        <w:t xml:space="preserve">    "stat1b": "Growing at 15% annually as core banking modernisation, digital channels, and Account Aggregator integration all drive procurement.",</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fintech infrastructure mandate",</w:t>
      </w:r>
    </w:p>
    <w:p>
      <w:pPr>
        <w:shd w:fill="F0F0F0" w:val="clear"/>
        <w:spacing w:after="14" w:before="14"/>
        <w:ind w:left="360"/>
      </w:pPr>
      <w:r>
        <w:rPr>
          <w:rFonts w:ascii="Courier New" w:cs="Courier New" w:eastAsia="Courier New" w:hAnsi="Courier New"/>
          <w:color w:val="1B2A4A"/>
          <w:sz w:val="16"/>
          <w:szCs w:val="16"/>
        </w:rPr>
        <w:t xml:space="preserve">    "stat2b": "Indian bank CIOs, NBFC technology heads, and RBI regulatory specialists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fintech infrastructure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RBI compliance mapping and bank demand research delivers India fintech infrastructure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"india-gulf-fmcg-combined",</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"cpg-fmcg-retail",</w:t>
      </w:r>
    </w:p>
    <w:p>
      <w:pPr>
        <w:shd w:fill="F0F0F0" w:val="clear"/>
        <w:spacing w:after="14" w:before="14"/>
        <w:ind w:left="360"/>
      </w:pPr>
      <w:r>
        <w:rPr>
          <w:rFonts w:ascii="Courier New" w:cs="Courier New" w:eastAsia="Courier New" w:hAnsi="Courier New"/>
          <w:color w:val="1B2A4A"/>
          <w:sz w:val="16"/>
          <w:szCs w:val="16"/>
        </w:rPr>
        <w:t xml:space="preserve">    "title": "India &amp; Gulf FMCG Combined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FMCG companies develop combined India and Gulf market entry strategies, identifying synergies between the two most commercially significant emerging market FMCG opportunities.",</w:t>
      </w:r>
    </w:p>
    <w:p>
      <w:pPr>
        <w:shd w:fill="F0F0F0" w:val="clear"/>
        <w:spacing w:after="14" w:before="14"/>
        <w:ind w:left="360"/>
      </w:pPr>
      <w:r>
        <w:rPr>
          <w:rFonts w:ascii="Courier New" w:cs="Courier New" w:eastAsia="Courier New" w:hAnsi="Courier New"/>
          <w:color w:val="1B2A4A"/>
          <w:sz w:val="16"/>
          <w:szCs w:val="16"/>
        </w:rPr>
        <w:t xml:space="preserve">    "h1": "India and Gulf FMCG combined market entry strategy",</w:t>
      </w:r>
    </w:p>
    <w:p>
      <w:pPr>
        <w:shd w:fill="F0F0F0" w:val="clear"/>
        <w:spacing w:after="14" w:before="14"/>
        <w:ind w:left="360"/>
      </w:pPr>
      <w:r>
        <w:rPr>
          <w:rFonts w:ascii="Courier New" w:cs="Courier New" w:eastAsia="Courier New" w:hAnsi="Courier New"/>
          <w:color w:val="1B2A4A"/>
          <w:sz w:val="16"/>
          <w:szCs w:val="16"/>
        </w:rPr>
        <w:t xml:space="preserve">    "tagline": "Two of the world's most significant FMCG growth markets — one integrated entry strategy.",</w:t>
      </w:r>
    </w:p>
    <w:p>
      <w:pPr>
        <w:shd w:fill="F0F0F0" w:val="clear"/>
        <w:spacing w:after="14" w:before="14"/>
        <w:ind w:left="360"/>
      </w:pPr>
      <w:r>
        <w:rPr>
          <w:rFonts w:ascii="Courier New" w:cs="Courier New" w:eastAsia="Courier New" w:hAnsi="Courier New"/>
          <w:color w:val="1B2A4A"/>
          <w:sz w:val="16"/>
          <w:szCs w:val="16"/>
        </w:rPr>
        <w:t xml:space="preserve">    "hero": "India and the Gulf together represent the most significant FMCG market entry opportunity in the world for international consumer goods brands — India for its 1.4 billion consumers and rapidly growing middle class, the Gulf for its high per-capita income, food import dependency, and premium consumer segment. Many international FMCG companies are evaluating both markets simultaneously, and the synergies between India and Gulf entry are significant — shared supply chain logistics, cross-market brand positioning, halal certification enabling both markets from a single facility, and sequential market learning. GreyRadius helps FMCG companies develop integrated India-Gulf strategies that maximise commercial impact while managing investment efficiently.",</w:t>
      </w:r>
    </w:p>
    <w:p>
      <w:pPr>
        <w:shd w:fill="F0F0F0" w:val="clear"/>
        <w:spacing w:after="14" w:before="14"/>
        <w:ind w:left="360"/>
      </w:pPr>
      <w:r>
        <w:rPr>
          <w:rFonts w:ascii="Courier New" w:cs="Courier New" w:eastAsia="Courier New" w:hAnsi="Courier New"/>
          <w:color w:val="1B2A4A"/>
          <w:sz w:val="16"/>
          <w:szCs w:val="16"/>
        </w:rPr>
        <w:t xml:space="preserve">    "market_timing": "India and Gulf FMCG opportunities are both at commercial inflection points — India's middle class is growing by 30 million households annually, and the Gulf's Vision 2030 programmes are expanding tourism and population in ways that increase food and consumer goods demand. Companies developing integrated India-Gulf FMCG strategies in 2024–2027 can leverage cross-market supply chains and brand-building efficiencies that single-market companies cannot access.",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"Combined India-Gulf FMCG market exceeds $1.5T annually — India for volume growth and Gulf for premium positioning and highest per-capita consumer spending globally.",</w:t>
      </w:r>
    </w:p>
    <w:p>
      <w:pPr>
        <w:shd w:fill="F0F0F0" w:val="clear"/>
        <w:spacing w:after="14" w:before="14"/>
        <w:ind w:left="360"/>
      </w:pPr>
      <w:r>
        <w:rPr>
          <w:rFonts w:ascii="Courier New" w:cs="Courier New" w:eastAsia="Courier New" w:hAnsi="Courier New"/>
          <w:color w:val="1B2A4A"/>
          <w:sz w:val="16"/>
          <w:szCs w:val="16"/>
        </w:rPr>
        <w:t xml:space="preserve">      "India-Gulf FMCG trade is growing at 15% annually — Indian FMCG companies including Dabur, Marico, and Haldiram are successfully serving both markets from integrated supply chains.",</w:t>
      </w:r>
    </w:p>
    <w:p>
      <w:pPr>
        <w:shd w:fill="F0F0F0" w:val="clear"/>
        <w:spacing w:after="14" w:before="14"/>
        <w:ind w:left="360"/>
      </w:pPr>
      <w:r>
        <w:rPr>
          <w:rFonts w:ascii="Courier New" w:cs="Courier New" w:eastAsia="Courier New" w:hAnsi="Courier New"/>
          <w:color w:val="1B2A4A"/>
          <w:sz w:val="16"/>
          <w:szCs w:val="16"/>
        </w:rPr>
        <w:t xml:space="preserve">      "Gulf FMCG demand has significant South Asian influence — Indian diaspora communities in UAE and Saudi Arabia of 3M+ people create natural demand for Indian-origin food products.",</w:t>
      </w:r>
    </w:p>
    <w:p>
      <w:pPr>
        <w:shd w:fill="F0F0F0" w:val="clear"/>
        <w:spacing w:after="14" w:before="14"/>
        <w:ind w:left="360"/>
      </w:pPr>
      <w:r>
        <w:rPr>
          <w:rFonts w:ascii="Courier New" w:cs="Courier New" w:eastAsia="Courier New" w:hAnsi="Courier New"/>
          <w:color w:val="1B2A4A"/>
          <w:sz w:val="16"/>
          <w:szCs w:val="16"/>
        </w:rPr>
        <w:t xml:space="preserve">      "Halal certification in India enables Gulf market access — FSSAI halal-certified Indian food manufacturing can serve both domestic Muslim consumers and Gulf export markets from the same production facility."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"Regulatory requirements in India and Gulf are entirely different — FSSAI in India versus SFDA, ESMA, and JAKIM in Gulf require separate compliance tracks with different timelines and documentation.",</w:t>
      </w:r>
    </w:p>
    <w:p>
      <w:pPr>
        <w:shd w:fill="F0F0F0" w:val="clear"/>
        <w:spacing w:after="14" w:before="14"/>
        <w:ind w:left="360"/>
      </w:pPr>
      <w:r>
        <w:rPr>
          <w:rFonts w:ascii="Courier New" w:cs="Courier New" w:eastAsia="Courier New" w:hAnsi="Courier New"/>
          <w:color w:val="1B2A4A"/>
          <w:sz w:val="16"/>
          <w:szCs w:val="16"/>
        </w:rPr>
        <w:t xml:space="preserve">      "Consumer preferences differ significantly between markets — Gulf consumers have different taste profiles, pack size preferences, and brand positioning expectations from Indian consumers.",</w:t>
      </w:r>
    </w:p>
    <w:p>
      <w:pPr>
        <w:shd w:fill="F0F0F0" w:val="clear"/>
        <w:spacing w:after="14" w:before="14"/>
        <w:ind w:left="360"/>
      </w:pPr>
      <w:r>
        <w:rPr>
          <w:rFonts w:ascii="Courier New" w:cs="Courier New" w:eastAsia="Courier New" w:hAnsi="Courier New"/>
          <w:color w:val="1B2A4A"/>
          <w:sz w:val="16"/>
          <w:szCs w:val="16"/>
        </w:rPr>
        <w:t xml:space="preserve">      "Working capital requirements for dual-market entry are significant — operating distributor networks in both India and Gulf simultaneously requires more capital than single-market entry.",</w:t>
      </w:r>
    </w:p>
    <w:p>
      <w:pPr>
        <w:shd w:fill="F0F0F0" w:val="clear"/>
        <w:spacing w:after="14" w:before="14"/>
        <w:ind w:left="360"/>
      </w:pPr>
      <w:r>
        <w:rPr>
          <w:rFonts w:ascii="Courier New" w:cs="Courier New" w:eastAsia="Courier New" w:hAnsi="Courier New"/>
          <w:color w:val="1B2A4A"/>
          <w:sz w:val="16"/>
          <w:szCs w:val="16"/>
        </w:rPr>
        <w:t xml:space="preserve">      "Management bandwidth for two complex markets simultaneously is a common constraint for mid-size FMCG companies considering combined entry."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"Combined market entry assessment|You need to assess whether combined India-Gulf entry makes strategic and financial sense versus sequential single-market entry for your product.",</w:t>
      </w:r>
    </w:p>
    <w:p>
      <w:pPr>
        <w:shd w:fill="F0F0F0" w:val="clear"/>
        <w:spacing w:after="14" w:before="14"/>
        <w:ind w:left="360"/>
      </w:pPr>
      <w:r>
        <w:rPr>
          <w:rFonts w:ascii="Courier New" w:cs="Courier New" w:eastAsia="Courier New" w:hAnsi="Courier New"/>
          <w:color w:val="1B2A4A"/>
          <w:sz w:val="16"/>
          <w:szCs w:val="16"/>
        </w:rPr>
        <w:t xml:space="preserve">      "India-Gulf supply chain synergy analysis|You need to understand how India manufacturing can efficiently serve both domestic and Gulf export demand from shared facilities.",</w:t>
      </w:r>
    </w:p>
    <w:p>
      <w:pPr>
        <w:shd w:fill="F0F0F0" w:val="clear"/>
        <w:spacing w:after="14" w:before="14"/>
        <w:ind w:left="360"/>
      </w:pPr>
      <w:r>
        <w:rPr>
          <w:rFonts w:ascii="Courier New" w:cs="Courier New" w:eastAsia="Courier New" w:hAnsi="Courier New"/>
          <w:color w:val="1B2A4A"/>
          <w:sz w:val="16"/>
          <w:szCs w:val="16"/>
        </w:rPr>
        <w:t xml:space="preserve">      "Integrated regulatory pathway|You need parallel regulatory registration strategies for India FSSAI and Gulf SFDA and ESMA and JAKIM.",</w:t>
      </w:r>
    </w:p>
    <w:p>
      <w:pPr>
        <w:shd w:fill="F0F0F0" w:val="clear"/>
        <w:spacing w:after="14" w:before="14"/>
        <w:ind w:left="360"/>
      </w:pPr>
      <w:r>
        <w:rPr>
          <w:rFonts w:ascii="Courier New" w:cs="Courier New" w:eastAsia="Courier New" w:hAnsi="Courier New"/>
          <w:color w:val="1B2A4A"/>
          <w:sz w:val="16"/>
          <w:szCs w:val="16"/>
        </w:rPr>
        <w:t xml:space="preserve">      "Combined FMCG GTM strategy|You need a coordinated India-Gulf go-to-market plan leveraging diaspora communities and cross-market brand building.",</w:t>
      </w:r>
    </w:p>
    <w:p>
      <w:pPr>
        <w:shd w:fill="F0F0F0" w:val="clear"/>
        <w:spacing w:after="14" w:before="14"/>
        <w:ind w:left="360"/>
      </w:pPr>
      <w:r>
        <w:rPr>
          <w:rFonts w:ascii="Courier New" w:cs="Courier New" w:eastAsia="Courier New" w:hAnsi="Courier New"/>
          <w:color w:val="1B2A4A"/>
          <w:sz w:val="16"/>
          <w:szCs w:val="16"/>
        </w:rPr>
        <w:t xml:space="preserve">      "Cross-market fundraising narrative|You need an investor pitch that tells a combined India-Gulf FMCG story rather than two separate single-market stories.",</w:t>
      </w:r>
    </w:p>
    <w:p>
      <w:pPr>
        <w:shd w:fill="F0F0F0" w:val="clear"/>
        <w:spacing w:after="14" w:before="14"/>
        <w:ind w:left="360"/>
      </w:pPr>
      <w:r>
        <w:rPr>
          <w:rFonts w:ascii="Courier New" w:cs="Courier New" w:eastAsia="Courier New" w:hAnsi="Courier New"/>
          <w:color w:val="1B2A4A"/>
          <w:sz w:val="16"/>
          <w:szCs w:val="16"/>
        </w:rPr>
        <w:t xml:space="preserve">      "Distributor network across both markets|You need qualified distributors identified in both India and Gulf markets simultaneously."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consumer demand in both India and Gulf simultaneously with coordinated primary research and supply chain synergy assessment.",</w:t>
      </w:r>
    </w:p>
    <w:p>
      <w:pPr>
        <w:shd w:fill="F0F0F0" w:val="clear"/>
        <w:spacing w:after="14" w:before="14"/>
        <w:ind w:left="360"/>
      </w:pPr>
      <w:r>
        <w:rPr>
          <w:rFonts w:ascii="Courier New" w:cs="Courier New" w:eastAsia="Courier New" w:hAnsi="Courier New"/>
          <w:color w:val="1B2A4A"/>
          <w:sz w:val="16"/>
          <w:szCs w:val="16"/>
        </w:rPr>
        <w:t xml:space="preserve">      "Full financial feasibility for combined India-Gulf FMCG investment including supply chain synergy modelling and dual-market economics.",</w:t>
      </w:r>
    </w:p>
    <w:p>
      <w:pPr>
        <w:shd w:fill="F0F0F0" w:val="clear"/>
        <w:spacing w:after="14" w:before="14"/>
        <w:ind w:left="360"/>
      </w:pPr>
      <w:r>
        <w:rPr>
          <w:rFonts w:ascii="Courier New" w:cs="Courier New" w:eastAsia="Courier New" w:hAnsi="Courier New"/>
          <w:color w:val="1B2A4A"/>
          <w:sz w:val="16"/>
          <w:szCs w:val="16"/>
        </w:rPr>
        <w:t xml:space="preserve">      "End-to-end combined market entry covering parallel regulatory pathways and distributor identification in both markets simultaneously.",</w:t>
      </w:r>
    </w:p>
    <w:p>
      <w:pPr>
        <w:shd w:fill="F0F0F0" w:val="clear"/>
        <w:spacing w:after="14" w:before="14"/>
        <w:ind w:left="360"/>
      </w:pPr>
      <w:r>
        <w:rPr>
          <w:rFonts w:ascii="Courier New" w:cs="Courier New" w:eastAsia="Courier New" w:hAnsi="Courier New"/>
          <w:color w:val="1B2A4A"/>
          <w:sz w:val="16"/>
          <w:szCs w:val="16"/>
        </w:rPr>
        <w:t xml:space="preserve">      "Embedded dual-market FMCG GTM team managing India and Gulf distributor and retailer outreach simultaneously.",</w:t>
      </w:r>
    </w:p>
    <w:p>
      <w:pPr>
        <w:shd w:fill="F0F0F0" w:val="clear"/>
        <w:spacing w:after="14" w:before="14"/>
        <w:ind w:left="360"/>
      </w:pPr>
      <w:r>
        <w:rPr>
          <w:rFonts w:ascii="Courier New" w:cs="Courier New" w:eastAsia="Courier New" w:hAnsi="Courier New"/>
          <w:color w:val="1B2A4A"/>
          <w:sz w:val="16"/>
          <w:szCs w:val="16"/>
        </w:rPr>
        <w:t xml:space="preserve">      "Investor-ready pitch books with combined India-Gulf FMCG market narrative and supply chain economics.",</w:t>
      </w:r>
    </w:p>
    <w:p>
      <w:pPr>
        <w:shd w:fill="F0F0F0" w:val="clear"/>
        <w:spacing w:after="14" w:before="14"/>
        <w:ind w:left="360"/>
      </w:pPr>
      <w:r>
        <w:rPr>
          <w:rFonts w:ascii="Courier New" w:cs="Courier New" w:eastAsia="Courier New" w:hAnsi="Courier New"/>
          <w:color w:val="1B2A4A"/>
          <w:sz w:val="16"/>
          <w:szCs w:val="16"/>
        </w:rPr>
        <w:t xml:space="preserve">      "AI use-case identification — from demand forecasting across both India and Gulf markets to shared supply chain routing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recommend entering India and Gulf FMCG markets simultaneously or sequentially?|Depends on capital, management bandwidth, and product fit — we assess the right sequencing as part of every combined market engagement.",</w:t>
      </w:r>
    </w:p>
    <w:p>
      <w:pPr>
        <w:shd w:fill="F0F0F0" w:val="clear"/>
        <w:spacing w:after="14" w:before="14"/>
        <w:ind w:left="360"/>
      </w:pPr>
      <w:r>
        <w:rPr>
          <w:rFonts w:ascii="Courier New" w:cs="Courier New" w:eastAsia="Courier New" w:hAnsi="Courier New"/>
          <w:color w:val="1B2A4A"/>
          <w:sz w:val="16"/>
          <w:szCs w:val="16"/>
        </w:rPr>
        <w:t xml:space="preserve">      "What are the main supply chain synergies between India and Gulf FMCG?|India manufacturing for Gulf export, shared halal certification, and South Asian diaspora demand in Gulf are the three main commercial synergies.",</w:t>
      </w:r>
    </w:p>
    <w:p>
      <w:pPr>
        <w:shd w:fill="F0F0F0" w:val="clear"/>
        <w:spacing w:after="14" w:before="14"/>
        <w:ind w:left="360"/>
      </w:pPr>
      <w:r>
        <w:rPr>
          <w:rFonts w:ascii="Courier New" w:cs="Courier New" w:eastAsia="Courier New" w:hAnsi="Courier New"/>
          <w:color w:val="1B2A4A"/>
          <w:sz w:val="16"/>
          <w:szCs w:val="16"/>
        </w:rPr>
        <w:t xml:space="preserve">      "How long does a combined India-Gulf FMCG engagement take?|Typically 10–14 weeks given the complexity of dual-market research and regulatory mapping.",</w:t>
      </w:r>
    </w:p>
    <w:p>
      <w:pPr>
        <w:shd w:fill="F0F0F0" w:val="clear"/>
        <w:spacing w:after="14" w:before="14"/>
        <w:ind w:left="360"/>
      </w:pPr>
      <w:r>
        <w:rPr>
          <w:rFonts w:ascii="Courier New" w:cs="Courier New" w:eastAsia="Courier New" w:hAnsi="Courier New"/>
          <w:color w:val="1B2A4A"/>
          <w:sz w:val="16"/>
          <w:szCs w:val="16"/>
        </w:rPr>
        <w:t xml:space="preserve">      "Can GreyRadius identify distributors in both India and Gulf simultaneously?|Yes — our team has distributor networks across both markets and can run identification processes in parallel."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Gulf FMCG market entry, combined FMCG strategy, India Gulf consumer goods, dual market FMCG entry, India UAE FMCG consulting, Gulf India consumer products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Bengaluru plus UAE — Dubai and Abu Dhabi, Saudi Arabia — Riyadh and Jeddah",</w:t>
      </w:r>
    </w:p>
    <w:p>
      <w:pPr>
        <w:shd w:fill="F0F0F0" w:val="clear"/>
        <w:spacing w:after="14" w:before="14"/>
        <w:ind w:left="360"/>
      </w:pPr>
      <w:r>
        <w:rPr>
          <w:rFonts w:ascii="Courier New" w:cs="Courier New" w:eastAsia="Courier New" w:hAnsi="Courier New"/>
          <w:color w:val="1B2A4A"/>
          <w:sz w:val="16"/>
          <w:szCs w:val="16"/>
        </w:rPr>
        <w:t xml:space="preserve">    "stat1n": "$1.5T+",</w:t>
      </w:r>
    </w:p>
    <w:p>
      <w:pPr>
        <w:shd w:fill="F0F0F0" w:val="clear"/>
        <w:spacing w:after="14" w:before="14"/>
        <w:ind w:left="360"/>
      </w:pPr>
      <w:r>
        <w:rPr>
          <w:rFonts w:ascii="Courier New" w:cs="Courier New" w:eastAsia="Courier New" w:hAnsi="Courier New"/>
          <w:color w:val="1B2A4A"/>
          <w:sz w:val="16"/>
          <w:szCs w:val="16"/>
        </w:rPr>
        <w:t xml:space="preserve">    "stat1l": "Combined India and Gulf FMCG market annually",</w:t>
      </w:r>
    </w:p>
    <w:p>
      <w:pPr>
        <w:shd w:fill="F0F0F0" w:val="clear"/>
        <w:spacing w:after="14" w:before="14"/>
        <w:ind w:left="360"/>
      </w:pPr>
      <w:r>
        <w:rPr>
          <w:rFonts w:ascii="Courier New" w:cs="Courier New" w:eastAsia="Courier New" w:hAnsi="Courier New"/>
          <w:color w:val="1B2A4A"/>
          <w:sz w:val="16"/>
          <w:szCs w:val="16"/>
        </w:rPr>
        <w:t xml:space="preserve">    "stat1b": "India for volume and middle-class growth, Gulf for premium positioning and highest per-capita consumer spending globally.",</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combined mandate",</w:t>
      </w:r>
    </w:p>
    <w:p>
      <w:pPr>
        <w:shd w:fill="F0F0F0" w:val="clear"/>
        <w:spacing w:after="14" w:before="14"/>
        <w:ind w:left="360"/>
      </w:pPr>
      <w:r>
        <w:rPr>
          <w:rFonts w:ascii="Courier New" w:cs="Courier New" w:eastAsia="Courier New" w:hAnsi="Courier New"/>
          <w:color w:val="1B2A4A"/>
          <w:sz w:val="16"/>
          <w:szCs w:val="16"/>
        </w:rPr>
        <w:t xml:space="preserve">    "stat2b": "Indian and Gulf consumers, distributors, and regulatory specialists — every engagement grounded in direct primary research in both markets.",</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"Combined India-Gulf FMCG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dual-market consumer demand mapping and supply chain synergy analysis delivers integrated India-Gulf FMCG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Running total after Batch 14</w:t>
      </w:r>
    </w:p>
    <w:p>
      <w:pPr>
        <w:spacing w:after="60" w:before="60"/>
      </w:pPr>
      <w:r>
        <w:rPr>
          <w:rFonts w:ascii="Arial" w:cs="Arial" w:eastAsia="Arial" w:hAnsi="Arial"/>
          <w:color w:val="222222"/>
          <w:sz w:val="20"/>
          <w:szCs w:val="20"/>
        </w:rPr>
        <w:t xml:space="preserve">Previous batches total: 219 pages</w:t>
      </w:r>
    </w:p>
    <w:p>
      <w:pPr>
        <w:spacing w:after="60" w:before="60"/>
      </w:pPr>
      <w:r>
        <w:rPr>
          <w:rFonts w:ascii="Arial" w:cs="Arial" w:eastAsia="Arial" w:hAnsi="Arial"/>
          <w:color w:val="222222"/>
          <w:sz w:val="20"/>
          <w:szCs w:val="20"/>
        </w:rPr>
        <w:t xml:space="preserve">Batch 14: 20 pages</w:t>
      </w:r>
    </w:p>
    <w:p>
      <w:pPr>
        <w:spacing w:after="60" w:before="60"/>
      </w:pPr>
      <w:r>
        <w:rPr>
          <w:rFonts w:ascii="Arial" w:cs="Arial" w:eastAsia="Arial" w:hAnsi="Arial"/>
          <w:color w:val="222222"/>
          <w:sz w:val="20"/>
          <w:szCs w:val="20"/>
        </w:rPr>
        <w:t xml:space="preserve">New total: 239 pages fully written</w:t>
      </w:r>
    </w:p>
    <w:p>
      <w:pPr>
        <w:spacing w:after="60" w:before="60"/>
      </w:pPr>
      <w:r>
        <w:rPr>
          <w:rFonts w:ascii="Arial" w:cs="Arial" w:eastAsia="Arial" w:hAnsi="Arial"/>
          <w:color w:val="222222"/>
          <w:sz w:val="20"/>
          <w:szCs w:val="20"/>
        </w:rPr>
        <w:t xml:space="preserve">Next: Batch 15 — 20 more pages covering remaining sector strategies and combined market entry guides.</w:t>
      </w:r>
    </w:p>
    <w:p>
      <w:pPr>
        <w:spacing w:before="400"/>
      </w:pPr>
      <w:r>
        <w:rPr>
          <w:rFonts w:ascii="Arial" w:cs="Arial" w:eastAsia="Arial" w:hAnsi="Arial"/>
          <w:i/>
          <w:iCs/>
          <w:color w:val="666666"/>
          <w:sz w:val="16"/>
          <w:szCs w:val="16"/>
        </w:rPr>
        <w:t xml:space="preserve">GreyRadius Consulting | SEO Build Pack Batch 14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2026-06-04T11:08:29.188Z</dcterms:created>
  <dcterms:modified xsi:type="dcterms:W3CDTF">2026-06-04T11:08:29.199Z</dcterms:modified>
</cp:coreProperties>
</file>

<file path=docProps/custom.xml><?xml version="1.0" encoding="utf-8"?>
<Properties xmlns="http://schemas.openxmlformats.org/officeDocument/2006/custom-properties" xmlns:vt="http://schemas.openxmlformats.org/officeDocument/2006/docPropsVTypes"/>
</file>