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HealthConnect Rwanda</w:t>
      </w:r>
    </w:p>
    <w:p>
      <w:pPr>
        <w:spacing w:after="280"/>
      </w:pPr>
      <w:r>
        <w:rPr>
          <w:color w:val="444444"/>
          <w:sz w:val="26"/>
          <w:szCs w:val="26"/>
        </w:rPr>
        <w:t xml:space="preserve">Business Insights Report</w:t>
      </w:r>
    </w:p>
    <w:p>
      <w:pPr>
        <w:pStyle w:val="Heading1"/>
        <w:spacing w:after="120" w:before="280"/>
      </w:pPr>
      <w:r>
        <w:t xml:space="preserve">1. Purpose and scope</w:t>
      </w:r>
    </w:p>
    <w:p>
      <w:pPr>
        <w:spacing w:after="140" w:line="300"/>
      </w:pPr>
      <w:r>
        <w:rPr>
          <w:sz w:val="21"/>
          <w:szCs w:val="21"/>
        </w:rPr>
        <w:t xml:space="preserve">This report sets out what the HealthConnect Rwanda data shows about patients, clinical activity, billing, operations and patient experience. It is written for management, and it states where the data is incomplete. Every figure comes from the 27 source tables and is shown on the Power BI dashboard.</w:t>
      </w:r>
    </w:p>
    <w:p>
      <w:pPr>
        <w:spacing w:after="140" w:line="300"/>
      </w:pPr>
      <w:r>
        <w:rPr>
          <w:sz w:val="21"/>
          <w:szCs w:val="21"/>
        </w:rPr>
        <w:t xml:space="preserve">The main volumes are 20,000 patients, 60,000 diagnoses and 60,000 bills, 5,000 appointments with full clinical detail, 350 doctors and 21,064 feedback responses.</w:t>
      </w:r>
    </w:p>
    <w:p>
      <w:pPr>
        <w:pStyle w:val="Heading1"/>
        <w:spacing w:after="120" w:before="280"/>
      </w:pPr>
      <w:r>
        <w:t xml:space="preserve">2. Key findings</w:t>
      </w:r>
    </w:p>
    <w:p>
      <w:pPr>
        <w:pStyle w:val="ListParagraph"/>
        <w:numPr>
          <w:ilvl w:val="0"/>
          <w:numId w:val="1"/>
        </w:numPr>
        <w:spacing w:after="80" w:line="290"/>
      </w:pPr>
      <w:r>
        <w:rPr>
          <w:sz w:val="21"/>
          <w:szCs w:val="21"/>
        </w:rPr>
        <w:t xml:space="preserve">Billing is concentrated in a stable monthly pattern: no month deviates far from the average on the matched bills.</w:t>
      </w:r>
    </w:p>
    <w:p>
      <w:pPr>
        <w:pStyle w:val="ListParagraph"/>
        <w:numPr>
          <w:ilvl w:val="0"/>
          <w:numId w:val="1"/>
        </w:numPr>
        <w:spacing w:after="80" w:line="290"/>
      </w:pPr>
      <w:r>
        <w:rPr>
          <w:sz w:val="21"/>
          <w:szCs w:val="21"/>
        </w:rPr>
        <w:t xml:space="preserve">Nearly two in three feedback responses are complaints, rated 1 or 2 out of 5, which is the clearest patient-experience concern.</w:t>
      </w:r>
    </w:p>
    <w:p>
      <w:pPr>
        <w:pStyle w:val="ListParagraph"/>
        <w:numPr>
          <w:ilvl w:val="0"/>
          <w:numId w:val="1"/>
        </w:numPr>
        <w:spacing w:after="80" w:line="290"/>
      </w:pPr>
      <w:r>
        <w:rPr>
          <w:sz w:val="21"/>
          <w:szCs w:val="21"/>
        </w:rPr>
        <w:t xml:space="preserve">Only 8% of appointments carry full clinical detail, so location and revenue-by-facility findings rest on a subset.</w:t>
      </w:r>
    </w:p>
    <w:p>
      <w:pPr>
        <w:pStyle w:val="ListParagraph"/>
        <w:numPr>
          <w:ilvl w:val="0"/>
          <w:numId w:val="1"/>
        </w:numPr>
        <w:spacing w:after="80" w:line="290"/>
      </w:pPr>
      <w:r>
        <w:rPr>
          <w:sz w:val="21"/>
          <w:szCs w:val="21"/>
        </w:rPr>
        <w:t xml:space="preserve">Staff, beds and equipment are recorded as counts only, so utilisation and productivity cannot be measured.</w:t>
      </w:r>
    </w:p>
    <w:p>
      <w:pPr>
        <w:pStyle w:val="Heading1"/>
        <w:spacing w:after="120" w:before="280"/>
      </w:pPr>
      <w:r>
        <w:t xml:space="preserve">3. Headline figures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4840"/>
      </w:tblGrid>
      <w:tr>
        <w:trPr>
          <w:tblHeader/>
        </w:trPr>
        <w:tc>
          <w:tcPr>
            <w:tcW w:type="dxa" w:w="3800"/>
            <w:shd w:fill="E8ECF2" w:val="clear"/>
          </w:tcPr>
          <w:p>
            <w:r>
              <w:rPr>
                <w:b/>
                <w:bCs/>
                <w:sz w:val="18"/>
                <w:szCs w:val="18"/>
              </w:rPr>
              <w:t xml:space="preserve">Measure</w:t>
            </w:r>
          </w:p>
        </w:tc>
        <w:tc>
          <w:tcPr>
            <w:tcW w:type="dxa" w:w="2800"/>
            <w:shd w:fill="E8ECF2" w:val="clear"/>
          </w:tcPr>
          <w:p>
            <w:r>
              <w:rPr>
                <w:b/>
                <w:bCs/>
                <w:sz w:val="18"/>
                <w:szCs w:val="18"/>
              </w:rPr>
              <w:t xml:space="preserve">Value</w:t>
            </w:r>
          </w:p>
        </w:tc>
        <w:tc>
          <w:tcPr>
            <w:tcW w:type="dxa" w:w="4840"/>
            <w:shd w:fill="E8ECF2" w:val="clear"/>
          </w:tcPr>
          <w:p>
            <w:r>
              <w:rPr>
                <w:b/>
                <w:bCs/>
                <w:sz w:val="18"/>
                <w:szCs w:val="18"/>
              </w:rPr>
              <w:t xml:space="preserve">Basis</w:t>
            </w:r>
          </w:p>
        </w:tc>
      </w:tr>
      <w:tr>
        <w:tc>
          <w:tcPr>
            <w:tcW w:type="dxa" w:w="3800"/>
          </w:tcPr>
          <w:p>
            <w:r>
              <w:rPr>
                <w:b w:val="false"/>
                <w:bCs w:val="false"/>
                <w:sz w:val="18"/>
                <w:szCs w:val="18"/>
              </w:rPr>
              <w:t xml:space="preserve">Patients</w:t>
            </w:r>
          </w:p>
        </w:tc>
        <w:tc>
          <w:tcPr>
            <w:tcW w:type="dxa" w:w="2800"/>
          </w:tcPr>
          <w:p>
            <w:r>
              <w:rPr>
                <w:b w:val="false"/>
                <w:bCs w:val="false"/>
                <w:sz w:val="18"/>
                <w:szCs w:val="18"/>
              </w:rPr>
              <w:t xml:space="preserve">20,000</w:t>
            </w:r>
          </w:p>
        </w:tc>
        <w:tc>
          <w:tcPr>
            <w:tcW w:type="dxa" w:w="4840"/>
          </w:tcPr>
          <w:p>
            <w:r>
              <w:rPr>
                <w:b w:val="false"/>
                <w:bCs w:val="false"/>
                <w:sz w:val="18"/>
                <w:szCs w:val="18"/>
              </w:rPr>
              <w:t xml:space="preserve">All registered patients</w:t>
            </w:r>
          </w:p>
        </w:tc>
      </w:tr>
      <w:tr>
        <w:tc>
          <w:tcPr>
            <w:tcW w:type="dxa" w:w="3800"/>
          </w:tcPr>
          <w:p>
            <w:r>
              <w:rPr>
                <w:b w:val="false"/>
                <w:bCs w:val="false"/>
                <w:sz w:val="18"/>
                <w:szCs w:val="18"/>
              </w:rPr>
              <w:t xml:space="preserve">Appointments with clinical detail</w:t>
            </w:r>
          </w:p>
        </w:tc>
        <w:tc>
          <w:tcPr>
            <w:tcW w:type="dxa" w:w="2800"/>
          </w:tcPr>
          <w:p>
            <w:r>
              <w:rPr>
                <w:b w:val="false"/>
                <w:bCs w:val="false"/>
                <w:sz w:val="18"/>
                <w:szCs w:val="18"/>
              </w:rPr>
              <w:t xml:space="preserve">5,000</w:t>
            </w:r>
          </w:p>
        </w:tc>
        <w:tc>
          <w:tcPr>
            <w:tcW w:type="dxa" w:w="4840"/>
          </w:tcPr>
          <w:p>
            <w:r>
              <w:rPr>
                <w:b w:val="false"/>
                <w:bCs w:val="false"/>
                <w:sz w:val="18"/>
                <w:szCs w:val="18"/>
              </w:rPr>
              <w:t xml:space="preserve">Subset of 60,000 appointments</w:t>
            </w:r>
          </w:p>
        </w:tc>
      </w:tr>
      <w:tr>
        <w:tc>
          <w:tcPr>
            <w:tcW w:type="dxa" w:w="3800"/>
          </w:tcPr>
          <w:p>
            <w:r>
              <w:rPr>
                <w:b w:val="false"/>
                <w:bCs w:val="false"/>
                <w:sz w:val="18"/>
                <w:szCs w:val="18"/>
              </w:rPr>
              <w:t xml:space="preserve">Total billed</w:t>
            </w:r>
          </w:p>
        </w:tc>
        <w:tc>
          <w:tcPr>
            <w:tcW w:type="dxa" w:w="2800"/>
          </w:tcPr>
          <w:p>
            <w:r>
              <w:rPr>
                <w:b w:val="false"/>
                <w:bCs w:val="false"/>
                <w:sz w:val="18"/>
                <w:szCs w:val="18"/>
              </w:rPr>
              <w:t xml:space="preserve">9.31 billion</w:t>
            </w:r>
          </w:p>
        </w:tc>
        <w:tc>
          <w:tcPr>
            <w:tcW w:type="dxa" w:w="4840"/>
          </w:tcPr>
          <w:p>
            <w:r>
              <w:rPr>
                <w:b w:val="false"/>
                <w:bCs w:val="false"/>
                <w:sz w:val="18"/>
                <w:szCs w:val="18"/>
              </w:rPr>
              <w:t xml:space="preserve">All 60,000 bills</w:t>
            </w:r>
          </w:p>
        </w:tc>
      </w:tr>
      <w:tr>
        <w:tc>
          <w:tcPr>
            <w:tcW w:type="dxa" w:w="3800"/>
          </w:tcPr>
          <w:p>
            <w:r>
              <w:rPr>
                <w:b w:val="false"/>
                <w:bCs w:val="false"/>
                <w:sz w:val="18"/>
                <w:szCs w:val="18"/>
              </w:rPr>
              <w:t xml:space="preserve">Billed on matched appointments</w:t>
            </w:r>
          </w:p>
        </w:tc>
        <w:tc>
          <w:tcPr>
            <w:tcW w:type="dxa" w:w="2800"/>
          </w:tcPr>
          <w:p>
            <w:r>
              <w:rPr>
                <w:b w:val="false"/>
                <w:bCs w:val="false"/>
                <w:sz w:val="18"/>
                <w:szCs w:val="18"/>
              </w:rPr>
              <w:t xml:space="preserve">771 million</w:t>
            </w:r>
          </w:p>
        </w:tc>
        <w:tc>
          <w:tcPr>
            <w:tcW w:type="dxa" w:w="4840"/>
          </w:tcPr>
          <w:p>
            <w:r>
              <w:rPr>
                <w:b w:val="false"/>
                <w:bCs w:val="false"/>
                <w:sz w:val="18"/>
                <w:szCs w:val="18"/>
              </w:rPr>
              <w:t xml:space="preserve">5,000 linked bills</w:t>
            </w:r>
          </w:p>
        </w:tc>
      </w:tr>
      <w:tr>
        <w:tc>
          <w:tcPr>
            <w:tcW w:type="dxa" w:w="3800"/>
          </w:tcPr>
          <w:p>
            <w:r>
              <w:rPr>
                <w:b w:val="false"/>
                <w:bCs w:val="false"/>
                <w:sz w:val="18"/>
                <w:szCs w:val="18"/>
              </w:rPr>
              <w:t xml:space="preserve">Total paid</w:t>
            </w:r>
          </w:p>
        </w:tc>
        <w:tc>
          <w:tcPr>
            <w:tcW w:type="dxa" w:w="2800"/>
          </w:tcPr>
          <w:p>
            <w:r>
              <w:rPr>
                <w:b w:val="false"/>
                <w:bCs w:val="false"/>
                <w:sz w:val="18"/>
                <w:szCs w:val="18"/>
              </w:rPr>
              <w:t xml:space="preserve">8.39 billion</w:t>
            </w:r>
          </w:p>
        </w:tc>
        <w:tc>
          <w:tcPr>
            <w:tcW w:type="dxa" w:w="4840"/>
          </w:tcPr>
          <w:p>
            <w:r>
              <w:rPr>
                <w:b w:val="false"/>
                <w:bCs w:val="false"/>
                <w:sz w:val="18"/>
                <w:szCs w:val="18"/>
              </w:rPr>
              <w:t xml:space="preserve">All payments</w:t>
            </w:r>
          </w:p>
        </w:tc>
      </w:tr>
      <w:tr>
        <w:tc>
          <w:tcPr>
            <w:tcW w:type="dxa" w:w="3800"/>
          </w:tcPr>
          <w:p>
            <w:r>
              <w:rPr>
                <w:b w:val="false"/>
                <w:bCs w:val="false"/>
                <w:sz w:val="18"/>
                <w:szCs w:val="18"/>
              </w:rPr>
              <w:t xml:space="preserve">Outstanding balance</w:t>
            </w:r>
          </w:p>
        </w:tc>
        <w:tc>
          <w:tcPr>
            <w:tcW w:type="dxa" w:w="2800"/>
          </w:tcPr>
          <w:p>
            <w:r>
              <w:rPr>
                <w:b w:val="false"/>
                <w:bCs w:val="false"/>
                <w:sz w:val="18"/>
                <w:szCs w:val="18"/>
              </w:rPr>
              <w:t xml:space="preserve">919.95 million</w:t>
            </w:r>
          </w:p>
        </w:tc>
        <w:tc>
          <w:tcPr>
            <w:tcW w:type="dxa" w:w="4840"/>
          </w:tcPr>
          <w:p>
            <w:r>
              <w:rPr>
                <w:b w:val="false"/>
                <w:bCs w:val="false"/>
                <w:sz w:val="18"/>
                <w:szCs w:val="18"/>
              </w:rPr>
              <w:t xml:space="preserve">Billed less paid</w:t>
            </w:r>
          </w:p>
        </w:tc>
      </w:tr>
      <w:tr>
        <w:tc>
          <w:tcPr>
            <w:tcW w:type="dxa" w:w="3800"/>
          </w:tcPr>
          <w:p>
            <w:r>
              <w:rPr>
                <w:b w:val="false"/>
                <w:bCs w:val="false"/>
                <w:sz w:val="18"/>
                <w:szCs w:val="18"/>
              </w:rPr>
              <w:t xml:space="preserve">Insurance claims</w:t>
            </w:r>
          </w:p>
        </w:tc>
        <w:tc>
          <w:tcPr>
            <w:tcW w:type="dxa" w:w="2800"/>
          </w:tcPr>
          <w:p>
            <w:r>
              <w:rPr>
                <w:b w:val="false"/>
                <w:bCs w:val="false"/>
                <w:sz w:val="18"/>
                <w:szCs w:val="18"/>
              </w:rPr>
              <w:t xml:space="preserve">4.88 billion</w:t>
            </w:r>
          </w:p>
        </w:tc>
        <w:tc>
          <w:tcPr>
            <w:tcW w:type="dxa" w:w="4840"/>
          </w:tcPr>
          <w:p>
            <w:r>
              <w:rPr>
                <w:b w:val="false"/>
                <w:bCs w:val="false"/>
                <w:sz w:val="18"/>
                <w:szCs w:val="18"/>
              </w:rPr>
              <w:t xml:space="preserve">Four providers</w:t>
            </w:r>
          </w:p>
        </w:tc>
      </w:tr>
      <w:tr>
        <w:tc>
          <w:tcPr>
            <w:tcW w:type="dxa" w:w="3800"/>
          </w:tcPr>
          <w:p>
            <w:r>
              <w:rPr>
                <w:b w:val="false"/>
                <w:bCs w:val="false"/>
                <w:sz w:val="18"/>
                <w:szCs w:val="18"/>
              </w:rPr>
              <w:t xml:space="preserve">Staff</w:t>
            </w:r>
          </w:p>
        </w:tc>
        <w:tc>
          <w:tcPr>
            <w:tcW w:type="dxa" w:w="2800"/>
          </w:tcPr>
          <w:p>
            <w:r>
              <w:rPr>
                <w:b w:val="false"/>
                <w:bCs w:val="false"/>
                <w:sz w:val="18"/>
                <w:szCs w:val="18"/>
              </w:rPr>
              <w:t xml:space="preserve">1,250</w:t>
            </w:r>
          </w:p>
        </w:tc>
        <w:tc>
          <w:tcPr>
            <w:tcW w:type="dxa" w:w="4840"/>
          </w:tcPr>
          <w:p>
            <w:r>
              <w:rPr>
                <w:b w:val="false"/>
                <w:bCs w:val="false"/>
                <w:sz w:val="18"/>
                <w:szCs w:val="18"/>
              </w:rPr>
              <w:t xml:space="preserve">All staff roles</w:t>
            </w:r>
          </w:p>
        </w:tc>
      </w:tr>
      <w:tr>
        <w:tc>
          <w:tcPr>
            <w:tcW w:type="dxa" w:w="3800"/>
          </w:tcPr>
          <w:p>
            <w:r>
              <w:rPr>
                <w:b w:val="false"/>
                <w:bCs w:val="false"/>
                <w:sz w:val="18"/>
                <w:szCs w:val="18"/>
              </w:rPr>
              <w:t xml:space="preserve">Feedback average rating</w:t>
            </w:r>
          </w:p>
        </w:tc>
        <w:tc>
          <w:tcPr>
            <w:tcW w:type="dxa" w:w="2800"/>
          </w:tcPr>
          <w:p>
            <w:r>
              <w:rPr>
                <w:b w:val="false"/>
                <w:bCs w:val="false"/>
                <w:sz w:val="18"/>
                <w:szCs w:val="18"/>
              </w:rPr>
              <w:t xml:space="preserve">2.99 of 5</w:t>
            </w:r>
          </w:p>
        </w:tc>
        <w:tc>
          <w:tcPr>
            <w:tcW w:type="dxa" w:w="4840"/>
          </w:tcPr>
          <w:p>
            <w:r>
              <w:rPr>
                <w:b w:val="false"/>
                <w:bCs w:val="false"/>
                <w:sz w:val="18"/>
                <w:szCs w:val="18"/>
              </w:rPr>
              <w:t xml:space="preserve">21,064 responses</w:t>
            </w:r>
          </w:p>
        </w:tc>
      </w:tr>
    </w:tbl>
    <w:p>
      <w:pPr>
        <w:spacing w:after="140" w:line="300"/>
      </w:pPr>
      <w:r>
        <w:rPr>
          <w:sz w:val="21"/>
          <w:szCs w:val="21"/>
        </w:rPr>
        <w:t xml:space="preserve"/>
      </w:r>
    </w:p>
    <w:p>
      <w:pPr>
        <w:pStyle w:val="Heading1"/>
        <w:spacing w:after="120" w:before="280"/>
      </w:pPr>
      <w:r>
        <w:t xml:space="preserve">4. Data limitations</w:t>
      </w:r>
    </w:p>
    <w:p>
      <w:pPr>
        <w:spacing w:after="140" w:line="300"/>
      </w:pPr>
      <w:r>
        <w:rPr>
          <w:sz w:val="21"/>
          <w:szCs w:val="21"/>
        </w:rPr>
        <w:t xml:space="preserve">Four limitations shape the findings. They should be read before the figures in sections 5 to 9.</w:t>
      </w:r>
    </w:p>
    <w:p>
      <w:pPr>
        <w:pStyle w:val="ListParagraph"/>
        <w:numPr>
          <w:ilvl w:val="0"/>
          <w:numId w:val="1"/>
        </w:numPr>
        <w:spacing w:after="80" w:line="290"/>
      </w:pPr>
      <w:r>
        <w:rPr>
          <w:sz w:val="21"/>
          <w:szCs w:val="21"/>
        </w:rPr>
        <w:t xml:space="preserve">Only 5,000 of the 60,000 appointments have facility and department details. Facility, department and location figures cover that subset.</w:t>
      </w:r>
    </w:p>
    <w:p>
      <w:pPr>
        <w:pStyle w:val="ListParagraph"/>
        <w:numPr>
          <w:ilvl w:val="0"/>
          <w:numId w:val="1"/>
        </w:numPr>
        <w:spacing w:after="80" w:line="290"/>
      </w:pPr>
      <w:r>
        <w:rPr>
          <w:sz w:val="21"/>
          <w:szCs w:val="21"/>
        </w:rPr>
        <w:t xml:space="preserve">Billing has no dates. The monthly revenue trend is built from the 5,000 bills that link to a dated appointment. These total 771 million of the 9.31 billion billed.</w:t>
      </w:r>
    </w:p>
    <w:p>
      <w:pPr>
        <w:pStyle w:val="ListParagraph"/>
        <w:numPr>
          <w:ilvl w:val="0"/>
          <w:numId w:val="1"/>
        </w:numPr>
        <w:spacing w:after="80" w:line="290"/>
      </w:pPr>
      <w:r>
        <w:rPr>
          <w:sz w:val="21"/>
          <w:szCs w:val="21"/>
        </w:rPr>
        <w:t xml:space="preserve">The dataset has no laboratory, prescription, admission or referral records. Those topics are not reported. Emergency visits are used as a proxy for referrals.</w:t>
      </w:r>
    </w:p>
    <w:p>
      <w:pPr>
        <w:pStyle w:val="ListParagraph"/>
        <w:numPr>
          <w:ilvl w:val="0"/>
          <w:numId w:val="1"/>
        </w:numPr>
        <w:spacing w:after="80" w:line="290"/>
      </w:pPr>
      <w:r>
        <w:rPr>
          <w:sz w:val="21"/>
          <w:szCs w:val="21"/>
        </w:rPr>
        <w:t xml:space="preserve">Facilities are identified by ID only. The source file named as the facility master contains department data, so facility names are not available.</w:t>
      </w:r>
    </w:p>
    <w:p>
      <w:pPr>
        <w:spacing w:after="140" w:line="300"/>
      </w:pPr>
      <w:r>
        <w:rPr>
          <w:sz w:val="21"/>
          <w:szCs w:val="21"/>
        </w:rPr>
        <w:t xml:space="preserve">The source data does not state a currency. Amounts are shown as recorded.</w:t>
      </w:r>
    </w:p>
    <w:p>
      <w:pPr>
        <w:pStyle w:val="Heading1"/>
        <w:spacing w:after="120" w:before="280"/>
      </w:pPr>
      <w:r>
        <w:t xml:space="preserve">5. Patients</w:t>
      </w:r>
    </w:p>
    <w:p>
      <w:pPr>
        <w:spacing w:after="140" w:line="300"/>
      </w:pPr>
      <w:r>
        <w:rPr>
          <w:sz w:val="21"/>
          <w:szCs w:val="21"/>
        </w:rPr>
        <w:t xml:space="preserve">There are 20,000 patients, split almost evenly by gender: 10,090 male and 9,910 female. The average age is 45.</w:t>
      </w:r>
    </w:p>
    <w:p>
      <w:pPr>
        <w:spacing w:after="140" w:line="300"/>
      </w:pPr>
      <w:r>
        <w:rPr>
          <w:sz w:val="21"/>
          <w:szCs w:val="21"/>
        </w:rPr>
        <w:t xml:space="preserve">Chronic conditions are recorded for 14,929 patients. Asthma is the most common at 4,996, followed by hypertension at 4,988 and diabetes at 4,945.</w:t>
      </w:r>
    </w:p>
    <w:p>
      <w:pPr>
        <w:spacing w:after="140" w:line="300"/>
      </w:pPr>
      <w:r>
        <w:rPr>
          <w:sz w:val="21"/>
          <w:szCs w:val="21"/>
        </w:rPr>
        <w:t xml:space="preserve">Patients are spread evenly across the five provinces, with between 3,923 and 4,091 in each. Western has the most and Northern has the fewest.</w:t>
      </w:r>
    </w:p>
    <w:p>
      <w:pPr>
        <w:spacing w:after="140" w:line="300"/>
      </w:pPr>
      <w:r>
        <w:rPr>
          <w:sz w:val="21"/>
          <w:szCs w:val="21"/>
        </w:rPr>
        <w:t xml:space="preserve">Insurance claims are split across four providers, with between 10,373 and 10,644 claims each. No single provider dominates.</w:t>
      </w:r>
    </w:p>
    <w:p>
      <w:pPr>
        <w:pStyle w:val="Heading1"/>
        <w:spacing w:after="120" w:before="280"/>
      </w:pPr>
      <w:r>
        <w:t xml:space="preserve">6. Clinical activity</w:t>
      </w:r>
    </w:p>
    <w:p>
      <w:pPr>
        <w:spacing w:after="140" w:line="300"/>
      </w:pPr>
      <w:r>
        <w:rPr>
          <w:sz w:val="21"/>
          <w:szCs w:val="21"/>
        </w:rPr>
        <w:t xml:space="preserve">There are 5,000 appointments with clinical detail, handled by 350 doctors. The visit types are split almost evenly: follow-up 1,694, consultation 1,656 and emergency 1,650.</w:t>
      </w:r>
    </w:p>
    <w:p>
      <w:pPr>
        <w:spacing w:after="140" w:line="300"/>
      </w:pPr>
      <w:r>
        <w:rPr>
          <w:sz w:val="21"/>
          <w:szCs w:val="21"/>
        </w:rPr>
        <w:t xml:space="preserve">Gastritis is the most common diagnosis, with 12,208 cases out of 60,000 diagnoses. Severity is also balanced: 20,190 mild, 19,827 moderate and 19,983 severe.</w:t>
      </w:r>
    </w:p>
    <w:p>
      <w:pPr>
        <w:spacing w:after="140" w:line="300"/>
      </w:pPr>
      <w:r>
        <w:rPr>
          <w:sz w:val="21"/>
          <w:szCs w:val="21"/>
        </w:rPr>
        <w:t xml:space="preserve">Emergency visits are recorded across all 20 facilities. Because referrals are not recorded, these visits are reported only as a proxy.</w:t>
      </w:r>
    </w:p>
    <w:p>
      <w:pPr>
        <w:pStyle w:val="Heading1"/>
        <w:spacing w:after="120" w:before="280"/>
      </w:pPr>
      <w:r>
        <w:t xml:space="preserve">7. Financial performance</w:t>
      </w:r>
    </w:p>
    <w:p>
      <w:pPr>
        <w:spacing w:after="140" w:line="300"/>
      </w:pPr>
      <w:r>
        <w:rPr>
          <w:sz w:val="21"/>
          <w:szCs w:val="21"/>
        </w:rPr>
        <w:t xml:space="preserve">Total billed revenue across all 60,000 bills is 9.31 billion. Of this, 771 million is billed on the 5,000 appointments with clinical detail, and that is the basis for the revenue findings.</w:t>
      </w:r>
    </w:p>
    <w:p>
      <w:pPr>
        <w:spacing w:after="140" w:line="300"/>
      </w:pPr>
      <w:r>
        <w:rPr>
          <w:sz w:val="21"/>
          <w:szCs w:val="21"/>
        </w:rPr>
        <w:t xml:space="preserve">On the matched bills, monthly billed revenue ranges from 57.2 million in September to 70.2 million in June. Over the year the monthly figures stay within a narrow band, with no sustained growth or decline.</w:t>
      </w:r>
    </w:p>
    <w:p>
      <w:pPr>
        <w:spacing w:after="140" w:line="300"/>
      </w:pPr>
      <w:r>
        <w:rPr>
          <w:sz w:val="21"/>
          <w:szCs w:val="21"/>
        </w:rPr>
        <w:t xml:space="preserve">The matched revenue is spread across all ten departments, and across 20 facilities. The department bars add up to the 771 million total.</w:t>
      </w:r>
    </w:p>
    <w:p>
      <w:pPr>
        <w:spacing w:after="140" w:line="300"/>
      </w:pPr>
      <w:r>
        <w:rPr>
          <w:sz w:val="21"/>
          <w:szCs w:val="21"/>
        </w:rPr>
        <w:t xml:space="preserve">Payments total 8.39 billion. They are split almost evenly across four methods: card 2.12 billion, mobile money 2.10 billion, insurance 2.09 billion and cash 2.07 billion. Card is the largest by a small margin.</w:t>
      </w:r>
    </w:p>
    <w:p>
      <w:pPr>
        <w:spacing w:after="140" w:line="300"/>
      </w:pPr>
      <w:r>
        <w:rPr>
          <w:sz w:val="21"/>
          <w:szCs w:val="21"/>
        </w:rPr>
        <w:t xml:space="preserve">Outstanding balance is 919.95 million, which is the billed amount less payments received. Insurance claims total 4.88 billion across the four providers.</w:t>
      </w:r>
    </w:p>
    <w:p>
      <w:pPr>
        <w:pStyle w:val="Heading1"/>
        <w:spacing w:after="120" w:before="280"/>
      </w:pPr>
      <w:r>
        <w:t xml:space="preserve">8. Operations</w:t>
      </w:r>
    </w:p>
    <w:p>
      <w:pPr>
        <w:spacing w:after="140" w:line="300"/>
      </w:pPr>
      <w:r>
        <w:rPr>
          <w:sz w:val="21"/>
          <w:szCs w:val="21"/>
        </w:rPr>
        <w:t xml:space="preserve">There are 1,250 staff: 700 nurses, 350 doctors, 80 administrative staff, 50 pharmacists, 40 laboratory scientists and 30 radiographers.</w:t>
      </w:r>
    </w:p>
    <w:p>
      <w:pPr>
        <w:spacing w:after="140" w:line="300"/>
      </w:pPr>
      <w:r>
        <w:rPr>
          <w:sz w:val="21"/>
          <w:szCs w:val="21"/>
        </w:rPr>
        <w:t xml:space="preserve">There are 2,000 beds across 400 rooms and 20 facilities. Every bed is recorded as available, so occupancy cannot be measured.</w:t>
      </w:r>
    </w:p>
    <w:p>
      <w:pPr>
        <w:spacing w:after="140" w:line="300"/>
      </w:pPr>
      <w:r>
        <w:rPr>
          <w:sz w:val="21"/>
          <w:szCs w:val="21"/>
        </w:rPr>
        <w:t xml:space="preserve">There are 200 medical equipment items across 10 types. No usage or status data is recorded, so utilisation cannot be assessed.</w:t>
      </w:r>
    </w:p>
    <w:p>
      <w:pPr>
        <w:pStyle w:val="Heading1"/>
        <w:spacing w:after="120" w:before="280"/>
      </w:pPr>
      <w:r>
        <w:t xml:space="preserve">9. Patient experience</w:t>
      </w:r>
    </w:p>
    <w:p>
      <w:pPr>
        <w:spacing w:after="140" w:line="300"/>
      </w:pPr>
      <w:r>
        <w:rPr>
          <w:sz w:val="21"/>
          <w:szCs w:val="21"/>
        </w:rPr>
        <w:t xml:space="preserve">There are 21,064 feedback responses, with an average rating of 2.99 out of 5. Ratings are spread almost evenly across the five values, from 4,149 five-star to 4,273 two-star responses.</w:t>
      </w:r>
    </w:p>
    <w:p>
      <w:pPr>
        <w:spacing w:after="140" w:line="300"/>
      </w:pPr>
      <w:r>
        <w:rPr>
          <w:sz w:val="21"/>
          <w:szCs w:val="21"/>
        </w:rPr>
        <w:t xml:space="preserve">Complaints, defined as ratings of 1 or 2, make up 40.4% of responses, or 8,518 responses.</w:t>
      </w:r>
    </w:p>
    <w:p>
      <w:pPr>
        <w:spacing w:after="140" w:line="300"/>
      </w:pPr>
      <w:r>
        <w:rPr>
          <w:sz w:val="21"/>
          <w:szCs w:val="21"/>
        </w:rPr>
        <w:t xml:space="preserve">Only 1,756 feedback responses link to a facility. Facility and department rankings are based on that subset. Facility HF011 has the highest average rating at 3.19, though the subset is small.</w:t>
      </w:r>
    </w:p>
    <w:p>
      <w:pPr>
        <w:pStyle w:val="Heading1"/>
        <w:spacing w:after="120" w:before="280"/>
      </w:pPr>
      <w:r>
        <w:t xml:space="preserve">10. Recommendations</w:t>
      </w:r>
    </w:p>
    <w:p>
      <w:pPr>
        <w:pStyle w:val="ListParagraph"/>
        <w:numPr>
          <w:ilvl w:val="0"/>
          <w:numId w:val="1"/>
        </w:numPr>
        <w:spacing w:after="80" w:line="290"/>
      </w:pPr>
      <w:r>
        <w:rPr>
          <w:sz w:val="21"/>
          <w:szCs w:val="21"/>
        </w:rPr>
        <w:t xml:space="preserve">Link every appointment to its facility and department. This one change would make the location and revenue findings complete for all 60,000 bills.</w:t>
      </w:r>
    </w:p>
    <w:p>
      <w:pPr>
        <w:pStyle w:val="ListParagraph"/>
        <w:numPr>
          <w:ilvl w:val="0"/>
          <w:numId w:val="1"/>
        </w:numPr>
        <w:spacing w:after="80" w:line="290"/>
      </w:pPr>
      <w:r>
        <w:rPr>
          <w:sz w:val="21"/>
          <w:szCs w:val="21"/>
        </w:rPr>
        <w:t xml:space="preserve">Record a bill date on each billing row, so revenue can be reported by month for all bills rather than the matched subset.</w:t>
      </w:r>
    </w:p>
    <w:p>
      <w:pPr>
        <w:pStyle w:val="ListParagraph"/>
        <w:numPr>
          <w:ilvl w:val="0"/>
          <w:numId w:val="1"/>
        </w:numPr>
        <w:spacing w:after="80" w:line="290"/>
      </w:pPr>
      <w:r>
        <w:rPr>
          <w:sz w:val="21"/>
          <w:szCs w:val="21"/>
        </w:rPr>
        <w:t xml:space="preserve">Record bed occupancy and equipment usage, so utilisation can be measured.</w:t>
      </w:r>
    </w:p>
    <w:p>
      <w:pPr>
        <w:pStyle w:val="ListParagraph"/>
        <w:numPr>
          <w:ilvl w:val="0"/>
          <w:numId w:val="1"/>
        </w:numPr>
        <w:spacing w:after="80" w:line="290"/>
      </w:pPr>
      <w:r>
        <w:rPr>
          <w:sz w:val="21"/>
          <w:szCs w:val="21"/>
        </w:rPr>
        <w:t xml:space="preserve">Review the complaints behind the 40.4% of responses rated 1 or 2, starting with the facilities that have the lowest average ratings.</w:t>
      </w:r>
    </w:p>
    <w:p>
      <w:pPr>
        <w:pStyle w:val="ListParagraph"/>
        <w:numPr>
          <w:ilvl w:val="0"/>
          <w:numId w:val="1"/>
        </w:numPr>
        <w:spacing w:after="80" w:line="290"/>
      </w:pPr>
      <w:r>
        <w:rPr>
          <w:sz w:val="21"/>
          <w:szCs w:val="21"/>
        </w:rPr>
        <w:t xml:space="preserve">Record referrals, laboratory tests, prescriptions and admissions, so the clinical picture is complete.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2026-10-25T11:43:37.508Z</dcterms:created>
  <dcterms:modified xsi:type="dcterms:W3CDTF">2026-10-25T11:43:37.509Z</dcterms:modified>
</cp:coreProperties>
</file>

<file path=docProps/custom.xml><?xml version="1.0" encoding="utf-8"?>
<Properties xmlns="http://schemas.openxmlformats.org/officeDocument/2006/custom-properties" xmlns:vt="http://schemas.openxmlformats.org/officeDocument/2006/docPropsVTypes"/>
</file>