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Swipe Card (Jake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This use case is used when the provider swipes the members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Provider,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The number is looked up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Bill ChocAn (Jake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This use case is used by the provider to bill ChocAn after a health care service has been provided to a member.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Provider,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The provider passes the member’s card through the card reader or keys in the member number.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If the entry is valid, the provider enters the date the service was performed and the code corresponding to the service.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The software displays the name of the service to be verified that it is the correct service by the provider.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3.1. The provider can add comments about the service provided if so desired.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The provider tells the software that it is the right service.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The software writes various information provided to a disc.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The software looks up and displays the fee to be paid to the provider.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The provider fills out a form with various information including the fee to be paid.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At the end of the week, the provider totals the fees for that week.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Send Reports (Amber)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This use case is used to send the weekly reports to members, providers and manager via emails on Friday midnight.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Member, Provider, Manager, ChocAn Data Center.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 midnight on Friday, the main accounting procedure is automatically run at the ChocAn Data Center.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system prepares the member, provider and financial reports and sends them to the respective recipients via emails.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Request Reports (Amber)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This use case is used to represent the manager’s ability to request individual reports from the ChocAn Data Center at any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Manager, ChocAn Data Center.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The Manager requests the Data center to run individual reports.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system prepares individual reports as requested by the Manager.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The system then sends this report to the manager’s email as an attachment.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Send Directory (Nate)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This use case is used to send the provider directory as an email attachment to the provider.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Provider,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The provider requests that the software give a Provider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system sends the Provider Directory to the provider’s email as an attachment.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Manage (Jake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This use case is for management of members or providers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The operator manages a 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operator manages a provider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Manage Members (Jake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The use case is used to manage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Operator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The operator adds a new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operator deletes a member who has resigned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The operator updates member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Manage Provider (Jake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The use case is used to manage providers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Operator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The operator adds a  new provider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operator deletes a provider who has resigned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The operator updates provider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