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FECHAS LÍMITE</w:t>
      </w:r>
    </w:p>
    <w:p w:rsidR="00000000" w:rsidDel="00000000" w:rsidP="00000000" w:rsidRDefault="00000000" w:rsidRPr="00000000">
      <w:pPr>
        <w:contextualSpacing w:val="0"/>
      </w:pPr>
      <w:r w:rsidDel="00000000" w:rsidR="00000000" w:rsidRPr="00000000">
        <w:rPr>
          <w:b w:val="1"/>
          <w:sz w:val="24"/>
          <w:szCs w:val="24"/>
          <w:rtl w:val="0"/>
        </w:rPr>
        <w:t xml:space="preserve">Modela:</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El ministerio carga las cosas en lapsos establecidos de tiempo.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Representaciones:</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Carga padrón y código/Carga escuelas/Carga candidatos</w:t>
      </w:r>
      <w:r w:rsidDel="00000000" w:rsidR="00000000" w:rsidRPr="00000000">
        <w:rPr>
          <w:rtl w:val="0"/>
        </w:rPr>
        <w:t xml:space="preserve">: Se corresponde con el diagrama de actividad de la preparación, para las acciones correspondientes.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sz w:val="28"/>
          <w:szCs w:val="28"/>
          <w:rtl w:val="0"/>
        </w:rPr>
        <w:t xml:space="preserve">Elección aleatoria de presidentes de mesa</w:t>
      </w:r>
    </w:p>
    <w:p w:rsidR="00000000" w:rsidDel="00000000" w:rsidP="00000000" w:rsidRDefault="00000000" w:rsidRPr="00000000">
      <w:pPr>
        <w:contextualSpacing w:val="0"/>
      </w:pPr>
      <w:r w:rsidDel="00000000" w:rsidR="00000000" w:rsidRPr="00000000">
        <w:rPr>
          <w:b w:val="1"/>
          <w:sz w:val="24"/>
          <w:szCs w:val="24"/>
          <w:rtl w:val="0"/>
        </w:rPr>
        <w:t xml:space="preserve">Modela: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Centro de Cómputos elige el presidente de mesa de manera aleatoria para cada mesa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Representaciones: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Representa la elección aleatoria del presidente de mesa para una mesa dada.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Los electores mencionados son solo aquellos que nunca fueron presidente de mesa antes. En caso de que todos los electores alguna vez lo hayan sido, los electores mencionados son el conjunto de todos los electores.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