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Hacer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Decir: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los casos de uso se separan por legibilidad, pero el sistema es el mismos y los actores tmb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Revisar (TODOS):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haya acción del ministerio corrigiendo el código fuente dentro de las máquinas de sufragio.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Asegurarse que no haya equipo técnico en ningún lugar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FSM: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una que explique D'Hont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una que explique hasheo con pendrive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