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Algoritmos y programación II - Módulo POO - Tema 2 Fecha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municipalidad de la ciudad de Ensenada desea mantener información actualizada de todos los vehículos municipalizados. Los vehículos se identifican por su patente. De cada vehículo se desea conocer la marca, modelo, color de pintura y su propietario. Del propietario se desea conocer nombre, apellido, dni y fecha de adquisición del vehículo.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Haga un módulo que simule 50 ingresos de vehículos con sus dueños. Los vehículos y sus dueños (generados al azar) no tienen orden alguno. Almacene los vehículos en dos ABB distintos. En el primero (ABB1) los vehículos deben quedar ordenados por marca. En el segundo (ABB2) los mismos vehículos deben quedar ordenados por fecha de adquisición.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Haga un módulo que reciba el ABB1 e imprima la información de todos los vehículos y sus propietarios para una marca en particular recibida como parámetro.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Haga un módulo que reciba el ABB2 e imprima la información de todos los vehículos y sus propietarios cuya fecha de adquisición sea mayor a una recibida por parámetro.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Haga un módulo que reciba el ABB1 y cambie a color verde los vehículos cuyo propietario se llame Marcos.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Escriba un programa que invoque a los cuatro módulos implementados y compruebe el correcto funcionamiento del mismo.</w:t>
      </w:r>
    </w:p>
    <w:sectPr>
      <w:pgSz w:h="15840" w:w="12240" w:orient="portrait"/>
      <w:pgMar w:bottom="1077.1653543307089" w:top="1077.1653543307089" w:left="1077.1653543307089" w:right="1077.16535433070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