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Test Data</w:t>
      </w:r>
    </w:p>
    <w:p>
      <w:pPr>
        <w:pStyle w:val="2"/>
        <w:numPr>
          <w:ilvl w:val="0"/>
          <w:numId w:val="0"/>
        </w:numPr>
        <w:bidi w:val="0"/>
        <w:spacing w:before="0" w:after="0" w:line="360" w:lineRule="auto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0" w:name="_Toc638607614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transition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T1</w:t>
      </w:r>
      <w:bookmarkEnd w:id="0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1" w:name="_GoBack"/>
      <w:bookmarkEnd w:id="1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adalah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membuat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Berdasarkan hasil pengujian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beta testing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yang dilakukan dosen pembimbing 1 dan perwakilannya untuk dosen pembimbing 2 yang dilakukan tanggal 8 - 9 Desember 2020 yang hasil tesnya dapat dilihat pada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file excel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“Beta Testing.xlsx” pada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branch github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 xml:space="preserve"> iterasi T1 telah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disusun tabel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"/>
        </w:rPr>
        <w:t>.</w:t>
      </w:r>
    </w:p>
    <w:p>
      <w:pPr>
        <w:pStyle w:val="3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 xml:space="preserve">Test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lang w:val="en"/>
        </w:rPr>
        <w:t>beta testing</w:t>
      </w:r>
    </w:p>
    <w:tbl>
      <w:tblPr>
        <w:tblStyle w:val="6"/>
        <w:tblW w:w="7636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275"/>
        <w:gridCol w:w="325"/>
        <w:gridCol w:w="325"/>
        <w:gridCol w:w="350"/>
        <w:gridCol w:w="462"/>
        <w:gridCol w:w="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tblHeader/>
        </w:trPr>
        <w:tc>
          <w:tcPr>
            <w:tcW w:w="563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No</w:t>
            </w:r>
          </w:p>
        </w:tc>
        <w:tc>
          <w:tcPr>
            <w:tcW w:w="527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"/>
              </w:rPr>
              <w:t>Test Deskripsi</w:t>
            </w:r>
          </w:p>
        </w:tc>
        <w:tc>
          <w:tcPr>
            <w:tcW w:w="3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25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50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462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336" w:type="dxa"/>
            <w:shd w:val="clear" w:color="auto" w:fill="BDD6EE" w:themeFill="accent1" w:themeFillTint="66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Fitur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login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  <w:t xml:space="preserve">logout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pada semua aktor mudah dimengerti.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Fitur mengubah data diri pada semua aktor mudah dimengerti.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 xml:space="preserve">permission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membuka akses permohonan untuk pemohon 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unit, fakultas dan prodi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kategori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pada aktor Admin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kategori permohonan untuk anda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permohonan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rincian permohonan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pengajuan SPJ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bukti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"/>
              </w:rPr>
              <w:t xml:space="preserve">rincian permohonan untuk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SPJ pada aktor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pengajuan permohonan dan SPJ pada Pemohon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WD 2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14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pada aktor WD 2 dan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15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mengelola data kegiatan permohonan pada aktor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16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PPK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17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mengelola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disposisi permohonan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18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 atau menolak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19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Kasubag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20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permohonan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21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 mengelola 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melanjutkan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disposisi SPJ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22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Fitur menerima surel yang berkaitan dengan kegiatan disposisi permohonan dan SPJ pada aktor BPP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63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23</w:t>
            </w:r>
          </w:p>
        </w:tc>
        <w:tc>
          <w:tcPr>
            <w:tcW w:w="52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melihat rekap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histori permohonan termasuk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"/>
              </w:rPr>
              <w:t>export excel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 pada permohonan yang selesai SPJ-nya semua aktor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/>
              </w:rPr>
              <w:t xml:space="preserve"> mudah dimengerti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5838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Total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350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462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44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Nilai Total = (0 × 1) + (0 × 2) + (0 × 3) + (44 × 4) + (2 × 5) = 186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Persentase kelayakan(%) = </w:t>
      </w:r>
      <m:oMath>
        <m:f>
          <m:fP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186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sz w:val="24"/>
                <w:szCs w:val="24"/>
                <w:lang w:val="en-US"/>
              </w:rPr>
              <m:t>230</m:t>
            </m:r>
            <m:ctrlPr>
              <w:rPr>
                <w:rFonts w:hint="default" w:ascii="DejaVu Math TeX Gyre" w:hAnsi="DejaVu Math TeX Gyre" w:cs="Times New Roman"/>
                <w:b w:val="0"/>
                <w:bCs w:val="0"/>
                <w:i/>
                <w:iCs w:val="0"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DejaVu Math TeX Gyre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× 100% = 80,8%</w:t>
      </w:r>
    </w:p>
    <w:p>
      <w:pPr>
        <w:spacing w:line="360" w:lineRule="auto"/>
        <w:ind w:firstLine="420" w:firstLineChars="0"/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Berdasarkan hasil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test data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didapatkan persentase kelayakan senilai 80,8%. Maka dapat dikatakan pada tahap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beta testing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ini sistem emonik mendapat predikat sesuai untuk aspek kebergunaan sistem. Dengan catatan  data pada sistem di-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update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dengan data terbaru dan lebih lengkap.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DC75"/>
    <w:rsid w:val="F7FDD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2021-01-03T11:31:00Z</dcterms:created>
  <dc:creator>agus</dc:creator>
  <cp:lastModifiedBy>agus</cp:lastModifiedBy>
  <dcterms:modified xsi:type="dcterms:W3CDTF">2021-01-03T11:32:33Z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