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tabs>
                <w:tab w:val="left" w:pos="708"/>
              </w:tabs>
              <w:contextualSpacing w:val="0"/>
              <w:jc w:val="center"/>
            </w:pPr>
            <w:r>
              <w:rPr>
                <w:rFonts w:ascii="Helvetica Neue" w:eastAsia="Helvetica Neue" w:hAnsi="Helvetica Neue" w:cs="Helvetica Neue"/>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Introducción: Propósito, Alcance, 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Criterios y protocolos para  Nombrar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t>.  Más concretamente, el proyecto va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p>
    <w:p w:rsidR="007209FB" w:rsidRPr="000C64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0C64FB" w:rsidRDefault="000C64FB" w:rsidP="000C64FB">
      <w:pPr>
        <w:spacing w:after="0"/>
        <w:ind w:left="357"/>
        <w:contextualSpacing/>
      </w:pP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-Historial clínico: Cada paciente tiene un listado de todas sus antecedentes médicos,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7209FB" w:rsidRDefault="004D02C1">
      <w:pPr>
        <w:numPr>
          <w:ilvl w:val="2"/>
          <w:numId w:val="1"/>
        </w:numPr>
        <w:spacing w:after="0"/>
        <w:ind w:left="720" w:hanging="720"/>
        <w:contextualSpacing/>
      </w:pPr>
      <w:bookmarkStart w:id="6" w:name="_3dy6vkm" w:colFirst="0" w:colLast="0"/>
      <w:bookmarkEnd w:id="6"/>
      <w:r>
        <w:rPr>
          <w:b/>
          <w:sz w:val="20"/>
          <w:szCs w:val="20"/>
        </w:rPr>
        <w:t>Aspectos de rendimiento</w:t>
      </w:r>
    </w:p>
    <w:p w:rsidR="007209FB" w:rsidRDefault="007209FB"/>
    <w:p w:rsidR="007209FB"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7209FB" w:rsidRDefault="007209FB"/>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4D02C1">
      <w:pPr>
        <w:ind w:left="720"/>
      </w:pPr>
      <w:bookmarkStart w:id="9" w:name="_2s8eyo1" w:colFirst="0" w:colLast="0"/>
      <w:bookmarkEnd w:id="9"/>
      <w:r>
        <w:t>Proceso unificado de desarrollo.</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209FB" w:rsidRDefault="007209FB"/>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209FB" w:rsidRDefault="007209FB"/>
    <w:p w:rsidR="007209FB"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209FB" w:rsidRDefault="004D02C1">
      <w:r>
        <w:rPr>
          <w:rFonts w:ascii="Courier New" w:eastAsia="Courier New" w:hAnsi="Courier New" w:cs="Courier New"/>
          <w:u w:val="single"/>
        </w:rPr>
        <w:t xml:space="preserve">   PARA CADA RIESGO K importante según su gravedad:</w:t>
      </w:r>
    </w:p>
    <w:p w:rsidR="007209FB" w:rsidRDefault="004D02C1">
      <w:r>
        <w:t xml:space="preserve">    3.k. Riesgo k-ésimo</w:t>
      </w:r>
    </w:p>
    <w:p w:rsidR="007209FB" w:rsidRDefault="004D02C1">
      <w:r>
        <w:t xml:space="preserve">          3.k.1. Reducción: </w:t>
      </w:r>
      <w:r>
        <w:rPr>
          <w:rFonts w:ascii="Courier New" w:eastAsia="Courier New" w:hAnsi="Courier New" w:cs="Courier New"/>
        </w:rPr>
        <w:t>cómo evitar que suceda</w:t>
      </w:r>
      <w:r>
        <w:t xml:space="preserve">    </w:t>
      </w:r>
    </w:p>
    <w:p w:rsidR="007209FB" w:rsidRDefault="007209FB"/>
    <w:p w:rsidR="007209FB" w:rsidRDefault="004D02C1">
      <w:r>
        <w:t xml:space="preserve">          3.k.2. Supervisión: </w:t>
      </w:r>
      <w:r>
        <w:rPr>
          <w:rFonts w:ascii="Courier New" w:eastAsia="Courier New" w:hAnsi="Courier New" w:cs="Courier New"/>
        </w:rPr>
        <w:t>controlar riesgo y supervisar  los pasos de reducción</w:t>
      </w:r>
    </w:p>
    <w:p w:rsidR="007209FB" w:rsidRDefault="007209FB"/>
    <w:p w:rsidR="007209FB" w:rsidRDefault="004D02C1">
      <w:r>
        <w:t xml:space="preserve">          3.k.3. Plan de Contingencia: </w:t>
      </w:r>
      <w:r>
        <w:rPr>
          <w:rFonts w:ascii="Courier New" w:eastAsia="Courier New" w:hAnsi="Courier New" w:cs="Courier New"/>
        </w:rPr>
        <w:t>Gestión si el Riesgo sucede</w:t>
      </w:r>
      <w:r>
        <w:t xml:space="preserve">    </w:t>
      </w:r>
    </w:p>
    <w:p w:rsidR="007209FB" w:rsidRDefault="007209FB"/>
    <w:p w:rsidR="007209FB" w:rsidRDefault="007209FB"/>
    <w:p w:rsidR="007209FB"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7209FB" w:rsidRDefault="004D02C1">
      <w:r>
        <w:rPr>
          <w:rFonts w:ascii="Courier New" w:eastAsia="Courier New" w:hAnsi="Courier New" w:cs="Courier New"/>
        </w:rPr>
        <w:t xml:space="preserve">        (cuándo hacer las tareas de control de riesgos)</w:t>
      </w:r>
    </w:p>
    <w:p w:rsidR="007209FB" w:rsidRDefault="004D02C1">
      <w:r>
        <w:tab/>
      </w:r>
      <w:r>
        <w:tab/>
      </w:r>
    </w:p>
    <w:p w:rsidR="007209FB" w:rsidRDefault="004D02C1">
      <w:pPr>
        <w:numPr>
          <w:ilvl w:val="1"/>
          <w:numId w:val="1"/>
        </w:numPr>
        <w:spacing w:after="0"/>
        <w:ind w:left="420" w:hanging="420"/>
        <w:contextualSpacing/>
      </w:pPr>
      <w:bookmarkStart w:id="19" w:name="_3j2qqm3" w:colFirst="0" w:colLast="0"/>
      <w:bookmarkEnd w:id="19"/>
      <w:r>
        <w:rPr>
          <w:b/>
          <w:sz w:val="24"/>
          <w:szCs w:val="24"/>
        </w:rPr>
        <w:t>Resumen</w:t>
      </w:r>
    </w:p>
    <w:p w:rsidR="007209FB" w:rsidRDefault="004D02C1">
      <w:r>
        <w:br w:type="page"/>
      </w:r>
    </w:p>
    <w:p w:rsidR="007209FB" w:rsidRDefault="007209FB"/>
    <w:p w:rsidR="007209FB" w:rsidRDefault="007209FB"/>
    <w:p w:rsidR="007209FB" w:rsidRDefault="004D02C1">
      <w:pPr>
        <w:numPr>
          <w:ilvl w:val="0"/>
          <w:numId w:val="1"/>
        </w:numPr>
        <w:ind w:hanging="360"/>
      </w:pPr>
      <w:bookmarkStart w:id="20" w:name="_1y810tw" w:colFirst="0" w:colLast="0"/>
      <w:bookmarkEnd w:id="20"/>
      <w:r>
        <w:rPr>
          <w:b/>
          <w:sz w:val="28"/>
          <w:szCs w:val="28"/>
        </w:rPr>
        <w:t>Planificación temporal</w:t>
      </w:r>
    </w:p>
    <w:p w:rsidR="007209FB" w:rsidRDefault="004D02C1">
      <w:pPr>
        <w:numPr>
          <w:ilvl w:val="1"/>
          <w:numId w:val="1"/>
        </w:numPr>
        <w:spacing w:after="0"/>
        <w:ind w:left="420" w:hanging="420"/>
        <w:contextualSpacing/>
      </w:pPr>
      <w:bookmarkStart w:id="21" w:name="_4i7ojhp" w:colFirst="0" w:colLast="0"/>
      <w:bookmarkEnd w:id="21"/>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t>Construcción:</w:t>
      </w:r>
      <w:r>
        <w:t xml:space="preserve"> realizamos la codificación del programa, las pruebas necesarias y el ensamblaje de todas las partes del proyecto.</w:t>
      </w:r>
    </w:p>
    <w:p w:rsidR="007209FB" w:rsidRDefault="004D02C1">
      <w:pPr>
        <w:numPr>
          <w:ilvl w:val="1"/>
          <w:numId w:val="1"/>
        </w:numPr>
        <w:spacing w:after="0"/>
        <w:ind w:left="420" w:hanging="420"/>
        <w:contextualSpacing/>
      </w:pPr>
      <w:bookmarkStart w:id="22" w:name="_2xcytpi" w:colFirst="0" w:colLast="0"/>
      <w:bookmarkEnd w:id="22"/>
      <w:r>
        <w:rPr>
          <w:b/>
          <w:sz w:val="24"/>
          <w:szCs w:val="24"/>
        </w:rPr>
        <w:t>Gráfico Gantt</w:t>
      </w:r>
    </w:p>
    <w:p w:rsidR="007209FB" w:rsidRDefault="008E52E9">
      <w:r>
        <w:rPr>
          <w:noProof/>
        </w:rPr>
        <w:drawing>
          <wp:inline distT="0" distB="0" distL="0" distR="0">
            <wp:extent cx="6124642" cy="15906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642" cy="1590675"/>
                    </a:xfrm>
                    <a:prstGeom prst="rect">
                      <a:avLst/>
                    </a:prstGeom>
                    <a:noFill/>
                    <a:ln>
                      <a:noFill/>
                    </a:ln>
                  </pic:spPr>
                </pic:pic>
              </a:graphicData>
            </a:graphic>
          </wp:inline>
        </w:drawing>
      </w:r>
    </w:p>
    <w:p w:rsidR="007209FB" w:rsidRDefault="004D02C1">
      <w:pPr>
        <w:numPr>
          <w:ilvl w:val="1"/>
          <w:numId w:val="1"/>
        </w:numPr>
        <w:spacing w:after="0"/>
        <w:ind w:left="420" w:hanging="420"/>
        <w:contextualSpacing/>
      </w:pPr>
      <w:bookmarkStart w:id="23" w:name="_1ci93xb" w:colFirst="0" w:colLast="0"/>
      <w:bookmarkEnd w:id="23"/>
      <w:r>
        <w:rPr>
          <w:b/>
          <w:sz w:val="24"/>
          <w:szCs w:val="24"/>
        </w:rPr>
        <w:t>Red de tareas</w:t>
      </w:r>
    </w:p>
    <w:p w:rsidR="007209FB" w:rsidRDefault="007209FB"/>
    <w:p w:rsidR="007209FB" w:rsidRDefault="004D02C1">
      <w:pPr>
        <w:numPr>
          <w:ilvl w:val="1"/>
          <w:numId w:val="1"/>
        </w:numPr>
        <w:spacing w:after="0"/>
        <w:ind w:left="420" w:hanging="420"/>
        <w:contextualSpacing/>
      </w:pPr>
      <w:bookmarkStart w:id="24" w:name="_3whwml4" w:colFirst="0" w:colLast="0"/>
      <w:bookmarkEnd w:id="24"/>
      <w:r>
        <w:rPr>
          <w:b/>
          <w:sz w:val="24"/>
          <w:szCs w:val="24"/>
        </w:rPr>
        <w:t>Tabla de uso de recursos</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5" w:name="_2bn6wsx" w:colFirst="0" w:colLast="0"/>
      <w:bookmarkEnd w:id="25"/>
      <w:r>
        <w:rPr>
          <w:b/>
          <w:sz w:val="28"/>
          <w:szCs w:val="28"/>
        </w:rPr>
        <w:t>Recursos del proyecto</w:t>
      </w:r>
    </w:p>
    <w:p w:rsidR="007209FB" w:rsidRDefault="004D02C1">
      <w:pPr>
        <w:numPr>
          <w:ilvl w:val="1"/>
          <w:numId w:val="1"/>
        </w:numPr>
        <w:spacing w:after="0"/>
        <w:ind w:left="420" w:hanging="420"/>
        <w:contextualSpacing/>
      </w:pPr>
      <w:bookmarkStart w:id="26" w:name="_qsh70q" w:colFirst="0" w:colLast="0"/>
      <w:bookmarkEnd w:id="26"/>
      <w:r>
        <w:rPr>
          <w:b/>
          <w:sz w:val="24"/>
          <w:szCs w:val="24"/>
        </w:rPr>
        <w:t>Personal</w:t>
      </w:r>
    </w:p>
    <w:p w:rsidR="007209FB" w:rsidRDefault="00EA32B1" w:rsidP="00EA32B1">
      <w:pPr>
        <w:ind w:left="420"/>
      </w:pPr>
      <w:r>
        <w:t>El grupo iDoctor Team consta de 7 miembros, los cuáles serán repartidos de la siguiente manera:</w:t>
      </w:r>
    </w:p>
    <w:p w:rsidR="00EA32B1" w:rsidRDefault="00EA32B1" w:rsidP="00EA32B1">
      <w:pPr>
        <w:pStyle w:val="Prrafodelista"/>
        <w:numPr>
          <w:ilvl w:val="0"/>
          <w:numId w:val="3"/>
        </w:numPr>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7" w:name="_3as4poj" w:colFirst="0" w:colLast="0"/>
      <w:bookmarkEnd w:id="27"/>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para desarrollar la aplicación será sencillamente ordenadores de sobremesa</w:t>
      </w:r>
      <w:r w:rsidR="00D50C9D">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F65C69">
      <w:pPr>
        <w:pStyle w:val="Prrafodelista"/>
        <w:numPr>
          <w:ilvl w:val="0"/>
          <w:numId w:val="5"/>
        </w:numPr>
      </w:pPr>
      <w:r>
        <w:rPr>
          <w:rStyle w:val="apple-converted-space"/>
          <w:rFonts w:ascii="Arial" w:hAnsi="Arial" w:cs="Arial"/>
          <w:color w:val="252525"/>
          <w:sz w:val="21"/>
          <w:szCs w:val="21"/>
          <w:shd w:val="clear" w:color="auto" w:fill="FFFFFF"/>
        </w:rPr>
        <w:t>Balsamiq: Desarrollo gráfico de la aplicación.</w:t>
      </w:r>
    </w:p>
    <w:p w:rsidR="007209FB" w:rsidRDefault="004D02C1">
      <w:pPr>
        <w:numPr>
          <w:ilvl w:val="1"/>
          <w:numId w:val="1"/>
        </w:numPr>
        <w:spacing w:after="0"/>
        <w:ind w:left="420" w:hanging="420"/>
        <w:contextualSpacing/>
      </w:pPr>
      <w:bookmarkStart w:id="28" w:name="_1pxezwc" w:colFirst="0" w:colLast="0"/>
      <w:bookmarkEnd w:id="28"/>
      <w:r>
        <w:rPr>
          <w:b/>
          <w:sz w:val="24"/>
          <w:szCs w:val="24"/>
        </w:rPr>
        <w:t>Lista de recursos</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9" w:name="_49x2ik5" w:colFirst="0" w:colLast="0"/>
      <w:bookmarkEnd w:id="29"/>
      <w:r>
        <w:rPr>
          <w:b/>
          <w:sz w:val="28"/>
          <w:szCs w:val="28"/>
        </w:rPr>
        <w:t>Organización del personal (Gestión del Equipo)</w:t>
      </w:r>
    </w:p>
    <w:p w:rsidR="007209FB" w:rsidRDefault="004D02C1">
      <w:pPr>
        <w:numPr>
          <w:ilvl w:val="1"/>
          <w:numId w:val="1"/>
        </w:numPr>
        <w:spacing w:after="0"/>
        <w:ind w:left="420" w:hanging="420"/>
        <w:contextualSpacing/>
      </w:pPr>
      <w:bookmarkStart w:id="30" w:name="_2p2csry" w:colFirst="0" w:colLast="0"/>
      <w:bookmarkEnd w:id="30"/>
      <w:r>
        <w:rPr>
          <w:b/>
          <w:sz w:val="24"/>
          <w:szCs w:val="24"/>
        </w:rPr>
        <w:t>Estructura de equipo (si procede)</w:t>
      </w:r>
    </w:p>
    <w:p w:rsidR="007209FB" w:rsidRDefault="007209FB"/>
    <w:p w:rsidR="007209FB" w:rsidRDefault="004D02C1">
      <w:pPr>
        <w:numPr>
          <w:ilvl w:val="1"/>
          <w:numId w:val="1"/>
        </w:numPr>
        <w:spacing w:after="0"/>
        <w:ind w:left="420" w:hanging="420"/>
        <w:contextualSpacing/>
      </w:pPr>
      <w:bookmarkStart w:id="31" w:name="_147n2zr" w:colFirst="0" w:colLast="0"/>
      <w:bookmarkEnd w:id="31"/>
      <w:r>
        <w:rPr>
          <w:b/>
          <w:sz w:val="24"/>
          <w:szCs w:val="24"/>
        </w:rPr>
        <w:t>Informes de gestión</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2" w:name="_3o7alnk" w:colFirst="0" w:colLast="0"/>
      <w:bookmarkEnd w:id="32"/>
      <w:r>
        <w:rPr>
          <w:b/>
          <w:sz w:val="28"/>
          <w:szCs w:val="28"/>
        </w:rPr>
        <w:t xml:space="preserve">Mecanismos de seguimiento y control  </w:t>
      </w:r>
    </w:p>
    <w:p w:rsidR="00195920" w:rsidRDefault="00195920" w:rsidP="00195920">
      <w:pPr>
        <w:pStyle w:val="Prrafodelista"/>
      </w:pPr>
      <w:bookmarkStart w:id="33" w:name="_23ckvvd" w:colFirst="0" w:colLast="0"/>
      <w:bookmarkStart w:id="34" w:name="_GoBack"/>
      <w:bookmarkEnd w:id="33"/>
      <w:bookmarkEnd w:id="34"/>
      <w:r>
        <w:t>La finalidad básica del seguimiento es la observación de la persona u objeto que se controla, creando así sistemas de control en el que es fundamental especificar qué cambio se ha realizado en dicha persona u objeto.</w:t>
      </w:r>
    </w:p>
    <w:p w:rsidR="007209FB" w:rsidRDefault="004D02C1">
      <w:pPr>
        <w:numPr>
          <w:ilvl w:val="1"/>
          <w:numId w:val="1"/>
        </w:numPr>
        <w:spacing w:after="0"/>
        <w:ind w:left="420" w:hanging="420"/>
        <w:contextualSpacing/>
      </w:pPr>
      <w:r>
        <w:rPr>
          <w:b/>
          <w:sz w:val="24"/>
          <w:szCs w:val="24"/>
        </w:rPr>
        <w:t>Garantía de calidad y control (Plan de Calidad)</w:t>
      </w:r>
    </w:p>
    <w:p w:rsidR="007209FB" w:rsidRDefault="007209FB"/>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Introducción: Propósito, Alcance, 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Tipos de artefactos a gestionar (los ECSs)</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Criterios y protocolos para  Nombrar los ECSs</w:t>
      </w:r>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7.2.5 )</w:t>
      </w:r>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A28" w:rsidRDefault="008A2A28">
      <w:pPr>
        <w:spacing w:after="0" w:line="240" w:lineRule="auto"/>
      </w:pPr>
      <w:r>
        <w:separator/>
      </w:r>
    </w:p>
  </w:endnote>
  <w:endnote w:type="continuationSeparator" w:id="0">
    <w:p w:rsidR="008A2A28" w:rsidRDefault="008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195920">
      <w:rPr>
        <w:noProof/>
      </w:rPr>
      <w:t>1</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A28" w:rsidRDefault="008A2A28">
      <w:pPr>
        <w:spacing w:after="0" w:line="240" w:lineRule="auto"/>
      </w:pPr>
      <w:r>
        <w:separator/>
      </w:r>
    </w:p>
  </w:footnote>
  <w:footnote w:type="continuationSeparator" w:id="0">
    <w:p w:rsidR="008A2A28" w:rsidRDefault="008A2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5"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C64FB"/>
    <w:rsid w:val="000D3BF7"/>
    <w:rsid w:val="00146638"/>
    <w:rsid w:val="00195920"/>
    <w:rsid w:val="004D02C1"/>
    <w:rsid w:val="005B04BF"/>
    <w:rsid w:val="007209FB"/>
    <w:rsid w:val="007B1B83"/>
    <w:rsid w:val="008A2A28"/>
    <w:rsid w:val="008E52E9"/>
    <w:rsid w:val="008F01EA"/>
    <w:rsid w:val="00967F5D"/>
    <w:rsid w:val="00AC3E2B"/>
    <w:rsid w:val="00C1677B"/>
    <w:rsid w:val="00CB2EBF"/>
    <w:rsid w:val="00CE5D6F"/>
    <w:rsid w:val="00D50C9D"/>
    <w:rsid w:val="00EA32B1"/>
    <w:rsid w:val="00F6482E"/>
    <w:rsid w:val="00F65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1144</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Usuario Local</cp:lastModifiedBy>
  <cp:revision>9</cp:revision>
  <dcterms:created xsi:type="dcterms:W3CDTF">2016-12-12T16:27:00Z</dcterms:created>
  <dcterms:modified xsi:type="dcterms:W3CDTF">2016-12-14T13:08:00Z</dcterms:modified>
</cp:coreProperties>
</file>