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Figure Legends</w:t>
      </w:r>
    </w:p>
    <w:p>
      <w:r>
        <w:rPr>
          <w:b/>
        </w:rPr>
        <w:t xml:space="preserve">Figure 1. </w:t>
      </w:r>
      <w:r>
        <w:rPr>
          <w:b w:val="0"/>
        </w:rPr>
        <w:t>Distribution of estimated propensity scores by observed treatment group. Density-normalized histograms compare patients receiving RT only (gray) with those receiving RT + chemotherapy (blue). The overlapping central region indicates that weighted comparisons are supported for many patients, whereas the relatively sparse group-specific tails identify limited positivity and motivate truncation of stabilized ATE weights at the 1st and 99th percentiles. ATE, average treatment effect; RT, radiotherapy.</w:t>
      </w:r>
    </w:p>
    <w:p>
      <w:r>
        <w:rPr>
          <w:b/>
        </w:rPr>
        <w:t xml:space="preserve">Figure 2. </w:t>
      </w:r>
      <w:r>
        <w:rPr>
          <w:b w:val="0"/>
        </w:rPr>
        <w:t>Covariate balance before and after inverse-probability-of-treatment weighting. Points are standardized mean differences comparing RT + chemotherapy with RT only before weighting (red) and after stabilized, truncated ATE weighting (blue); the 20 encoded covariate categories with the largest absolute imbalance before weighting are displayed. The vertical dashed lines mark the prespecified |SMD| = 0.10 balance threshold; values closer to zero indicate better balance. Weighting moved nearly all measured covariates within the target range, with a maximum residual |SMD| of 0.108 in a sparse histology category. ATE, average treatment effect; IPTW, inverse-probability-of-treatment weighting; RT, radiotherapy; SMD, standardized mean difference.</w:t>
      </w:r>
    </w:p>
    <w:p>
      <w:r>
        <w:rPr>
          <w:b/>
        </w:rPr>
        <w:t xml:space="preserve">Figure 3. </w:t>
      </w:r>
      <w:r>
        <w:rPr>
          <w:b w:val="0"/>
        </w:rPr>
        <w:t>Adjusted marginal overall-survival curves under RT only and RT + chemotherapy. For each treatment strategy, the weighted Cox model predicted every patient's counterfactual survival curve and predictions were averaged over the same 954-person eligible population. Survival was administratively truncated at 120 months. The curves remain close throughout follow-up and show no sustained separation favoring chemotherapy; their integrated areas yield 10-year RMST values of 67.1 and 64.8 months, respectively. RMST, restricted mean survival time; RT, radiotherapy.</w:t>
      </w:r>
    </w:p>
    <w:p>
      <w:r>
        <w:rPr>
          <w:b/>
        </w:rPr>
        <w:t xml:space="preserve">Figure 4. </w:t>
      </w:r>
      <w:r>
        <w:rPr>
          <w:b w:val="0"/>
        </w:rPr>
        <w:t>Patient-level bootstrap distribution of the adjusted 10-year RMST treatment contrast. Each of 1,000 iterations resampled patients and repeated cohort construction, propensity-score estimation, weight calculation and truncation, outcome-model fitting, standardization, and RMST integration. The horizontal axis is RT + chemotherapy minus RT only in months; values below zero favor RT only and values above zero favor RT + chemotherapy. The dashed vertical line marks the null value of zero. The distribution is centered at −2.3 months and crosses zero (95% percentile CI, −9.6 to +6.0), indicating substantial uncertainty around the point estimate. ATE, average treatment effect; CI, confidence interval; RMST, restricted mean survival time; RT, radiotherapy.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Figure legends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