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rPr>
          <w:b w:val="0"/>
        </w:rPr>
        <w:t>Predictive modeling of outcomes in salivary gland cancers using machine learning: simulated prospective validation with the RTOG 1008 trial</w:t>
      </w:r>
    </w:p>
    <w:p>
      <w:pPr>
        <w:keepNext/>
      </w:pPr>
      <w:r>
        <w:rPr>
          <w:b/>
        </w:rPr>
        <w:t xml:space="preserve">Supplementary Table S1. </w:t>
      </w:r>
      <w:r>
        <w:rPr>
          <w:b w:val="0"/>
        </w:rPr>
        <w:t>Cohort selection from the standardized SEER-derived extract.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/>
                <w:sz w:val="20"/>
              </w:rPr>
              <w:t>Selection step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/>
                <w:sz w:val="20"/>
              </w:rPr>
              <w:t>Remaining, n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/>
                <w:sz w:val="20"/>
              </w:rPr>
              <w:t>Excluded at step, 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 w:val="0"/>
                <w:sz w:val="20"/>
              </w:rPr>
              <w:t>Source standardized records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4,657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 w:val="0"/>
                <w:sz w:val="20"/>
              </w:rPr>
              <w:t>T3/T4 disease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1,667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2,990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 w:val="0"/>
                <w:sz w:val="20"/>
              </w:rPr>
              <w:t>Known N category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1,391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276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 w:val="0"/>
                <w:sz w:val="20"/>
              </w:rPr>
              <w:t>Radiotherapy recorded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954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437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b w:val="0"/>
                <w:sz w:val="20"/>
              </w:rPr>
              <w:t>Nonmissing survival time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954</w:t>
            </w:r>
          </w:p>
        </w:tc>
        <w:tc>
          <w:tcPr>
            <w:tcW w:type="dxa" w:w="3120"/>
          </w:tcPr>
          <w:p>
            <w:pPr>
              <w:spacing w:line="240" w:lineRule="auto" w:after="0"/>
              <w:jc w:val="right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line="240" w:lineRule="auto" w:before="120"/>
      </w:pPr>
      <w:r>
        <w:rPr>
          <w:b w:val="0"/>
          <w:sz w:val="20"/>
        </w:rPr>
        <w:t>Criteria were applied sequentially. Surgery, postoperative intent of radiotherapy, M stage, and diagnosis year are not available in the extract and could not be used as eligibility criteria. SEER, Surveillance, Epidemiology, and End Results.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