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28"/>
          <w:szCs w:val="28"/>
        </w:rPr>
        <w:t xml:space="preserve">Definiciones Iniciales TFG</w:t>
      </w:r>
    </w:p>
    <w:p>
      <w:pPr>
        <w:spacing w:after="60" w:line="360"/>
      </w:pPr>
      <w:r>
        <w:rPr>
          <w:rFonts w:ascii="Arial" w:cs="Arial" w:eastAsia="Arial" w:hAnsi="Arial"/>
          <w:sz w:val="24"/>
          <w:szCs w:val="24"/>
        </w:rPr>
        <w:t xml:space="preserve">Nombre y apellido: Agustín Tamagusuku</w:t>
      </w:r>
    </w:p>
    <w:p>
      <w:pPr>
        <w:spacing w:after="60" w:line="360"/>
      </w:pPr>
      <w:r>
        <w:rPr>
          <w:rFonts w:ascii="Arial" w:cs="Arial" w:eastAsia="Arial" w:hAnsi="Arial"/>
          <w:sz w:val="24"/>
          <w:szCs w:val="24"/>
        </w:rPr>
        <w:t xml:space="preserve">Documento: Completar        Legajo: Completar</w:t>
      </w:r>
    </w:p>
    <w:p>
      <w:pPr>
        <w:spacing w:after="60" w:line="360"/>
      </w:pPr>
      <w:r>
        <w:rPr>
          <w:rFonts w:ascii="Arial" w:cs="Arial" w:eastAsia="Arial" w:hAnsi="Arial"/>
          <w:sz w:val="24"/>
          <w:szCs w:val="24"/>
        </w:rPr>
        <w:t xml:space="preserve">Aprobada día: Consultar con Tutor Experto</w:t>
      </w:r>
    </w:p>
    <w:p>
      <w:pPr>
        <w:spacing w:after="120" w:before="240" w:line="360"/>
      </w:pPr>
      <w:r>
        <w:rPr>
          <w:rFonts w:ascii="Arial" w:cs="Arial" w:eastAsia="Arial" w:hAnsi="Arial"/>
          <w:b/>
          <w:bCs/>
          <w:sz w:val="24"/>
          <w:szCs w:val="24"/>
        </w:rPr>
        <w:t xml:space="preserve">Selección del Tipo de TFG</w:t>
      </w:r>
    </w:p>
    <w:p>
      <w:pPr>
        <w:spacing w:after="60" w:line="360"/>
      </w:pPr>
      <w:r>
        <w:rPr>
          <w:rFonts w:ascii="Arial" w:cs="Arial" w:eastAsia="Arial" w:hAnsi="Arial"/>
          <w:sz w:val="24"/>
          <w:szCs w:val="24"/>
        </w:rPr>
        <w:t xml:space="preserve">☐  Prototipado Tecnológico</w:t>
      </w:r>
    </w:p>
    <w:p>
      <w:pPr>
        <w:spacing w:after="60" w:line="360"/>
      </w:pPr>
      <w:r>
        <w:rPr>
          <w:rFonts w:ascii="Arial" w:cs="Arial" w:eastAsia="Arial" w:hAnsi="Arial"/>
          <w:sz w:val="24"/>
          <w:szCs w:val="24"/>
        </w:rPr>
        <w:t xml:space="preserve">☒  Trabajo de Investigación</w:t>
      </w:r>
    </w:p>
    <w:p>
      <w:pPr>
        <w:spacing w:after="120" w:before="240" w:line="360"/>
      </w:pPr>
      <w:r>
        <w:rPr>
          <w:rFonts w:ascii="Arial" w:cs="Arial" w:eastAsia="Arial" w:hAnsi="Arial"/>
          <w:b/>
          <w:bCs/>
          <w:sz w:val="24"/>
          <w:szCs w:val="24"/>
        </w:rPr>
        <w:t xml:space="preserve">Líneas Temáticas Estratégicas</w:t>
      </w:r>
    </w:p>
    <w:p>
      <w:pPr>
        <w:spacing w:after="60" w:line="360"/>
      </w:pPr>
      <w:r>
        <w:rPr>
          <w:rFonts w:ascii="Arial" w:cs="Arial" w:eastAsia="Arial" w:hAnsi="Arial"/>
          <w:sz w:val="24"/>
          <w:szCs w:val="24"/>
        </w:rPr>
        <w:t xml:space="preserve">☒  Transformación Digital</w:t>
      </w:r>
    </w:p>
    <w:p>
      <w:pPr>
        <w:spacing w:after="60" w:line="360"/>
      </w:pPr>
      <w:r>
        <w:rPr>
          <w:rFonts w:ascii="Arial" w:cs="Arial" w:eastAsia="Arial" w:hAnsi="Arial"/>
          <w:sz w:val="24"/>
          <w:szCs w:val="24"/>
        </w:rPr>
        <w:t xml:space="preserve">☐  Plataformas de Desarrollo</w:t>
      </w:r>
    </w:p>
    <w:p>
      <w:pPr>
        <w:spacing w:after="60" w:line="360"/>
      </w:pPr>
      <w:r>
        <w:rPr>
          <w:rFonts w:ascii="Arial" w:cs="Arial" w:eastAsia="Arial" w:hAnsi="Arial"/>
          <w:sz w:val="24"/>
          <w:szCs w:val="24"/>
        </w:rPr>
        <w:t xml:space="preserve">☐  Educación Digital</w:t>
      </w:r>
    </w:p>
    <w:p>
      <w:pPr>
        <w:spacing w:after="120" w:before="240" w:line="360"/>
      </w:pPr>
      <w:r>
        <w:rPr>
          <w:rFonts w:ascii="Arial" w:cs="Arial" w:eastAsia="Arial" w:hAnsi="Arial"/>
          <w:b/>
          <w:bCs/>
          <w:sz w:val="24"/>
          <w:szCs w:val="24"/>
        </w:rPr>
        <w:t xml:space="preserve">Título tentativo del TFG (aprox. 12 palabras)</w:t>
      </w:r>
    </w:p>
    <w:p>
      <w:pPr>
        <w:spacing w:after="120" w:line="360"/>
        <w:jc w:val="both"/>
      </w:pPr>
      <w:r>
        <w:rPr>
          <w:rFonts w:ascii="Arial" w:cs="Arial" w:eastAsia="Arial" w:hAnsi="Arial"/>
          <w:b w:val="false"/>
          <w:bCs w:val="false"/>
          <w:sz w:val="24"/>
          <w:szCs w:val="24"/>
        </w:rPr>
        <w:t xml:space="preserve">Fidelidad en la decodificación brain-to-text: cuantificación del aporte del modelo de lenguaje frente a la señal neural</w:t>
      </w:r>
    </w:p>
    <w:p>
      <w:pPr>
        <w:spacing w:after="120" w:before="240" w:line="360"/>
      </w:pPr>
      <w:r>
        <w:rPr>
          <w:rFonts w:ascii="Arial" w:cs="Arial" w:eastAsia="Arial" w:hAnsi="Arial"/>
          <w:b/>
          <w:bCs/>
          <w:sz w:val="24"/>
          <w:szCs w:val="24"/>
        </w:rPr>
        <w:t xml:space="preserve">Justificación de la Línea Temática Elegida</w:t>
      </w:r>
    </w:p>
    <w:p>
      <w:pPr>
        <w:spacing w:after="120" w:line="360"/>
        <w:jc w:val="both"/>
      </w:pPr>
      <w:r>
        <w:rPr>
          <w:rFonts w:ascii="Arial" w:cs="Arial" w:eastAsia="Arial" w:hAnsi="Arial"/>
          <w:b w:val="false"/>
          <w:bCs w:val="false"/>
          <w:sz w:val="24"/>
          <w:szCs w:val="24"/>
        </w:rPr>
        <w:t xml:space="preserve">Las interfaces cerebro-computadora devuelven la comunicación digital a personas que la perdieron por completo — el caso más profundo de adopción de herramientas digitales para la vida. Garantizar que lo que el sistema “dice” provenga realmente del usuario es condición de confianza para que esa transformación sea adoptable y segura.</w:t>
      </w:r>
    </w:p>
    <w:p>
      <w:pPr>
        <w:spacing w:after="120" w:before="240" w:line="360"/>
      </w:pPr>
      <w:r>
        <w:rPr>
          <w:rFonts w:ascii="Arial" w:cs="Arial" w:eastAsia="Arial" w:hAnsi="Arial"/>
          <w:b/>
          <w:bCs/>
          <w:sz w:val="24"/>
          <w:szCs w:val="24"/>
        </w:rPr>
        <w:t xml:space="preserve">Explicación del Tema</w:t>
      </w:r>
    </w:p>
    <w:p>
      <w:pPr>
        <w:spacing w:after="120" w:line="360"/>
        <w:jc w:val="both"/>
      </w:pPr>
      <w:r>
        <w:rPr>
          <w:rFonts w:ascii="Arial" w:cs="Arial" w:eastAsia="Arial" w:hAnsi="Arial"/>
          <w:b w:val="false"/>
          <w:bCs w:val="false"/>
          <w:sz w:val="24"/>
          <w:szCs w:val="24"/>
        </w:rPr>
        <w:t xml:space="preserve">Los sistemas brain-to-text convierten la actividad neuronal de personas con parálisis en texto mediante dos componentes en serie: un decodificador neural, que traduce la señal del cerebro a sonidos del habla, y un modelo de lenguaje que — como el autocorrector de un teléfono — completa y corrige esa salida usando su conocimiento del idioma. Los mejores sistemas reportan hasta 97,5% de precisión (Card et al., 2024).</w:t>
      </w:r>
    </w:p>
    <w:p>
      <w:pPr>
        <w:spacing w:after="120" w:line="360"/>
        <w:jc w:val="both"/>
      </w:pPr>
      <w:r>
        <w:rPr>
          <w:rFonts w:ascii="Arial" w:cs="Arial" w:eastAsia="Arial" w:hAnsi="Arial"/>
          <w:b/>
          <w:bCs/>
          <w:sz w:val="24"/>
          <w:szCs w:val="24"/>
        </w:rPr>
        <w:t xml:space="preserve">Este trabajo no busca mejorar ese número: busca auditarlo. </w:t>
      </w:r>
      <w:r>
        <w:rPr>
          <w:rFonts w:ascii="Arial" w:cs="Arial" w:eastAsia="Arial" w:hAnsi="Arial"/>
          <w:sz w:val="24"/>
          <w:szCs w:val="24"/>
        </w:rPr>
        <w:t xml:space="preserve">La distinción es la de un alumno que obtiene 97,5 en un examen de opción múltiple: ¿sabía las respuestas o dedujo por contexto la opción esperable? La nota es la misma; el significado es distinto. De cada 100 palabras correctas, ¿cuántas provienen de la señal cerebral del paciente y cuántas las completó el modelo de lenguaje por ser lo estadísticamente probable? En el subcampo no invasivo se demostró que modelos alimentados con ruido puro seguían generando oraciones fluidas; en los sistemas intracorticales de alto rendimiento — cuyos datos son públicos (repositorio Dryad, Stanford) — esa auditoría nunca se realizó. Este trabajo la aporta con un protocolo medible y reproducible.</w:t>
      </w:r>
    </w:p>
    <w:p>
      <w:pPr>
        <w:spacing w:after="120" w:before="240" w:line="360"/>
      </w:pPr>
      <w:r>
        <w:rPr>
          <w:rFonts w:ascii="Arial" w:cs="Arial" w:eastAsia="Arial" w:hAnsi="Arial"/>
          <w:b/>
          <w:bCs/>
          <w:sz w:val="24"/>
          <w:szCs w:val="24"/>
        </w:rPr>
        <w:t xml:space="preserve">Problema que se aborda o pregunta de investigación</w:t>
      </w:r>
    </w:p>
    <w:p>
      <w:pPr>
        <w:spacing w:after="120" w:line="360"/>
        <w:jc w:val="both"/>
      </w:pPr>
      <w:r>
        <w:rPr>
          <w:rFonts w:ascii="Arial" w:cs="Arial" w:eastAsia="Arial" w:hAnsi="Arial"/>
          <w:b w:val="false"/>
          <w:bCs w:val="false"/>
          <w:sz w:val="24"/>
          <w:szCs w:val="24"/>
        </w:rPr>
        <w:t xml:space="preserve">¿Qué proporción de la salida de un sistema brain-to-text intracortical proviene de la señal neural del usuario y cuánta del prior lingüístico del modelo de lenguaje? ¿En qué condiciones (degradación de señal, contenido poco predecible) el sistema produce texto fluido que ya no refleja la intención del usuario, y cómo medirlo con un protocolo reproducible?</w:t>
      </w:r>
    </w:p>
    <w:p>
      <w:pPr>
        <w:spacing w:after="120" w:before="240" w:line="360"/>
      </w:pPr>
      <w:r>
        <w:rPr>
          <w:rFonts w:ascii="Arial" w:cs="Arial" w:eastAsia="Arial" w:hAnsi="Arial"/>
          <w:b/>
          <w:bCs/>
          <w:sz w:val="24"/>
          <w:szCs w:val="24"/>
        </w:rPr>
        <w:t xml:space="preserve">Revisión de literatura principal</w:t>
      </w:r>
    </w:p>
    <w:p>
      <w:pPr>
        <w:spacing w:after="120" w:line="360"/>
        <w:ind w:left="360" w:hanging="360"/>
        <w:jc w:val="both"/>
      </w:pPr>
      <w:r>
        <w:rPr>
          <w:rFonts w:ascii="Arial" w:cs="Arial" w:eastAsia="Arial" w:hAnsi="Arial"/>
          <w:sz w:val="24"/>
          <w:szCs w:val="24"/>
        </w:rPr>
        <w:t xml:space="preserve">Willett, F. R., Kunz, E. M., Fan, C., Avansino, D. T., Wilson, G. H., Choi, E. Y., Kamdar, F., Glasser, M. F., Hochberg, L. R., Druckmann, S., Shenoy, K. V., y Henderson, J. M. (2023). A high-performance speech neuroprosthesis. Nature, 620(7976), 1031-1036. https://doi.org/10.1038/s41586-023-06377-x</w:t>
      </w:r>
    </w:p>
    <w:p>
      <w:pPr>
        <w:spacing w:after="120" w:line="360"/>
        <w:ind w:left="360" w:hanging="360"/>
        <w:jc w:val="both"/>
      </w:pPr>
      <w:r>
        <w:rPr>
          <w:rFonts w:ascii="Arial" w:cs="Arial" w:eastAsia="Arial" w:hAnsi="Arial"/>
          <w:sz w:val="24"/>
          <w:szCs w:val="24"/>
        </w:rPr>
        <w:t xml:space="preserve">Willett, F. R., et al. (2024). Brain-to-Text Benchmark '24: Lessons learned. arXiv. https://arxiv.org/abs/2412.17227</w:t>
      </w:r>
    </w:p>
    <w:p>
      <w:pPr>
        <w:spacing w:after="120" w:line="360"/>
        <w:ind w:left="360" w:hanging="360"/>
        <w:jc w:val="both"/>
      </w:pPr>
      <w:r>
        <w:rPr>
          <w:rFonts w:ascii="Arial" w:cs="Arial" w:eastAsia="Arial" w:hAnsi="Arial"/>
          <w:sz w:val="24"/>
          <w:szCs w:val="24"/>
        </w:rPr>
        <w:t xml:space="preserve">Escaping the BLEU Trap: A Signal-Grounded Framework with Decoupled Semantic Guidance for EEG-to-Text Decoding. (2026). arXiv. https://arxiv.org/abs/2603.03312</w:t>
      </w:r>
    </w:p>
    <w:p>
      <w:pPr>
        <w:spacing w:after="120" w:line="360"/>
        <w:ind w:left="360" w:hanging="360"/>
        <w:jc w:val="both"/>
      </w:pPr>
      <w:r>
        <w:rPr>
          <w:rFonts w:ascii="Arial" w:cs="Arial" w:eastAsia="Arial" w:hAnsi="Arial"/>
          <w:sz w:val="24"/>
          <w:szCs w:val="24"/>
        </w:rPr>
        <w:t xml:space="preserve">Evaluating EEG-to-text models through noise-based performance analysis. (2025). Scientific Reports. https://www.nature.com/articles/s41598-025-29587-x</w:t>
      </w:r>
    </w:p>
    <w:p>
      <w:pPr>
        <w:spacing w:after="120" w:before="240" w:line="360"/>
      </w:pPr>
      <w:r>
        <w:rPr>
          <w:rFonts w:ascii="Arial" w:cs="Arial" w:eastAsia="Arial" w:hAnsi="Arial"/>
          <w:b/>
          <w:bCs/>
          <w:sz w:val="24"/>
          <w:szCs w:val="24"/>
        </w:rPr>
        <w:t xml:space="preserve">Justificación del Trabajo Final de Graduación</w:t>
      </w:r>
    </w:p>
    <w:p>
      <w:pPr>
        <w:spacing w:after="120" w:line="360"/>
        <w:jc w:val="both"/>
      </w:pPr>
      <w:r>
        <w:rPr>
          <w:rFonts w:ascii="Arial" w:cs="Arial" w:eastAsia="Arial" w:hAnsi="Arial"/>
          <w:b w:val="false"/>
          <w:bCs w:val="false"/>
          <w:sz w:val="24"/>
          <w:szCs w:val="24"/>
        </w:rPr>
        <w:t xml:space="preserve">Las personas con parálisis total o esclerosis lateral amiotrófica avanzada conservan la mente intacta pero pierden todo canal de comunicación. Los sistemas brain-to-text ya demostraron devolverles el habla con precisión clínica, y sus datos y código son públicos, lo que permite investigarlos sin intervención sobre pacientes. Sin embargo, estos sistemas tienen una segunda cara: el usuario no puede corregir lo que el sistema dice en su nombre. Si el modelo de lenguaje completa palabras estadísticamente plausibles que no provienen de la señal cerebral, el sistema pone palabras en la boca de una persona sin voz, en contextos médicos, legales y familiares donde cada palabra importa. El subcampo no invasivo ya demostró que este riesgo es real; los sistemas intracorticales de alto rendimiento nunca fueron auditados con ese estándar. Este trabajo aporta esa auditoría: reproduce el sistema de referencia del benchmark público internacional, aísla el aporte de cada componente mediante ablación, construye curvas de degradación de señal que revelan cuándo la salida deja de ser fiel, y propone una métrica de tasa de alucinación aplicable a cualquier sistema de este tipo. El objetivo no es superar la precisión publicada sino caracterizar su composición, por lo que el diseño es informativo en cualquier dirección: si la fidelidad resulta alta, se cuantifica por primera vez una afirmación publicada en Nature que carecía de verificación sistemática; si resulta menor de lo asumido, se revela un problema de confiabilidad con implicancias directas para los usuarios. El abordaje es íntegramente de ingeniería de software: pipelines de evaluación reproducibles, métricas estándar, análisis estadístico sobre el conjunto de evaluación oficial y publicación del código. Los resultados benefician a la comunidad científica, a la comunidad de software y, en última instancia, a los usuarios finales, cuya agencia comunicativa es exactamente lo que está en juego.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2026-08-14T20:03:03.961Z</dcterms:created>
  <dcterms:modified xsi:type="dcterms:W3CDTF">2026-08-14T20:03:03.963Z</dcterms:modified>
</cp:coreProperties>
</file>

<file path=docProps/custom.xml><?xml version="1.0" encoding="utf-8"?>
<Properties xmlns="http://schemas.openxmlformats.org/officeDocument/2006/custom-properties" xmlns:vt="http://schemas.openxmlformats.org/officeDocument/2006/docPropsVTypes"/>
</file>