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Definiciones Iniciales TFG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Nombre y apellido: Agustín Tamagusuku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Documento: Completar        Legajo: Completar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Aprobada día: Consultar con Tutor Experto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Selección del Tipo de TFG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☐  Prototipado Tecnológico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☒  Trabajo de Investigación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Líneas Temáticas Estratégicas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☒  Transformación Digital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☐  Plataformas de Desarrollo</w:t>
      </w:r>
    </w:p>
    <w:p>
      <w:p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☐  Educación Digital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Título tentativo del TFG (aprox. 12 palabras)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Compresión y optimización de decodificadores brain-to-text para inferencia en tiempo real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Justificación de la Línea Temática Elegida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Los sistemas que devuelven la comunicación a personas paralizadas ya funcionan en laboratorio, pero solo llegarán a la vida real cuando corran en dispositivos portátiles de bajo consumo. Cerrar la brecha entre el prototipo científico y el producto usable es hacer adoptable la transformación digital más profunda que existe.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Explicación del Tema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Los decodificadores brain-to-text del estado del arte (Willett, 2023; Card, 2024) convierten señal cerebral en texto con precisión clínica, pero se ejecutan sin restricciones: computadoras de laboratorio, GPU y sin límite de latencia ni de energía. Un dispositivo real impone lo contrario: respuesta en milisegundos y consumo mínimo. La industria del software ya cruzó esta brecha en otros dominios: las técnicas de compresión de modelos — cuantización (representar los parámetros con menor precisión numérica), poda (eliminar conexiones de bajo aporte) y destilación (entrenar un modelo compacto que imita al grande) — son las que hoy permiten ejecutar modelos de lenguaje en teléfonos. Este trabajo las aplica sistemáticamente al decodificador público del Brain-to-Text Benchmark y construye el mapa precisión-latencia-tamaño: cuánta calidad de decodificación sobrevive a cada nivel de compresión y dónde está la frontera del tiempo real.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Problema que se aborda o pregunta de investigación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¿Cuánta precisión de decodificación se pierde al comprimir un decodificador brain-to-text mediante cuantización, poda y destilación, y dónde está la frontera óptima entre precisión, latencia y tamaño del modelo bajo un presupuesto de inferencia en tiempo real?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Revisión de literatura principal</w:t>
      </w:r>
    </w:p>
    <w:p>
      <w:pPr>
        <w:spacing w:after="120" w:line="360"/>
        <w:ind w:left="360" w:hanging="360"/>
        <w:jc w:val="both"/>
      </w:pPr>
      <w:r>
        <w:rPr>
          <w:rFonts w:ascii="Arial" w:cs="Arial" w:eastAsia="Arial" w:hAnsi="Arial"/>
          <w:sz w:val="24"/>
          <w:szCs w:val="24"/>
        </w:rPr>
        <w:t xml:space="preserve">Willett, F. R., Kunz, E. M., Fan, C., Avansino, D. T., Wilson, G. H., Choi, E. Y., Kamdar, F., Glasser, M. F., Hochberg, L. R., Druckmann, S., Shenoy, K. V., y Henderson, J. M. (2023). A high-performance speech neuroprosthesis. Nature, 620(7976), 1031-1036. https://doi.org/10.1038/s41586-023-06377-x</w:t>
      </w:r>
    </w:p>
    <w:p>
      <w:pPr>
        <w:spacing w:after="120" w:line="360"/>
        <w:ind w:left="360" w:hanging="360"/>
        <w:jc w:val="both"/>
      </w:pPr>
      <w:r>
        <w:rPr>
          <w:rFonts w:ascii="Arial" w:cs="Arial" w:eastAsia="Arial" w:hAnsi="Arial"/>
          <w:sz w:val="24"/>
          <w:szCs w:val="24"/>
        </w:rPr>
        <w:t xml:space="preserve">Willett, F. R., et al. (2024). Brain-to-Text Benchmark '24: Lessons learned. arXiv. https://arxiv.org/abs/2412.17227</w:t>
      </w:r>
    </w:p>
    <w:p>
      <w:pPr>
        <w:spacing w:after="120" w:line="360"/>
        <w:ind w:left="360" w:hanging="360"/>
        <w:jc w:val="both"/>
      </w:pPr>
      <w:r>
        <w:rPr>
          <w:rFonts w:ascii="Arial" w:cs="Arial" w:eastAsia="Arial" w:hAnsi="Arial"/>
          <w:sz w:val="24"/>
          <w:szCs w:val="24"/>
        </w:rPr>
        <w:t xml:space="preserve">Low-latency neural inference framework for real-time handwriting recognition from EEG signals on an edge device. (2025). Scientific Reports. https://www.nature.com/articles/s41598-025-24972-y</w:t>
      </w:r>
    </w:p>
    <w:p>
      <w:pPr>
        <w:spacing w:after="120" w:line="360"/>
        <w:ind w:left="360" w:hanging="360"/>
        <w:jc w:val="both"/>
      </w:pPr>
      <w:r>
        <w:rPr>
          <w:rFonts w:ascii="Arial" w:cs="Arial" w:eastAsia="Arial" w:hAnsi="Arial"/>
          <w:sz w:val="24"/>
          <w:szCs w:val="24"/>
        </w:rPr>
        <w:t xml:space="preserve">Latency-Aware Pruning and Quantization of Self-Supervised Speech Transformers for Edge Devices. ACM Transactions on Embedded Computing Systems. https://dl.acm.org/doi/10.1145/3746638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Justificación del Trabajo Final de Graduación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Las personas con parálisis total ya pueden comunicarse mediante decodificadores cerebrales con precisión clínica, pero únicamente en el laboratorio. El paso que falta para que esa tecnología llegue a la vida cotidiana no es científico sino de ingeniería: los modelos publicados son demasiado grandes, lentos y demandantes para ejecutarse en un dispositivo portátil. Es la misma brecha que la industria del software cruzó con los modelos de lenguaje — de los centros de datos a los teléfonos — mediante técnicas de compresión hoy maduras y bien documentadas. Sin embargo, no se ha publicado su aplicación sistemática a los decodificadores brain-to-text de referencia, cuyos datos y código son públicos. Este trabajo produce ese estudio: reproduce el decodificador del benchmark internacional como línea base, aplica cuantización, poda y destilación en niveles crecientes, y mide en cada punto la precisión contra el conjunto de evaluación oficial, la latencia de inferencia y el tamaño del modelo. El resultado — la frontera precisión-latencia-tamaño — es conocimiento accionable para la industria neurotecnológica: indica cuánta compresión tolera un decodificador clínico antes de degradarse y con qué técnica conviene comprimirlo. El diseño es informativo en cualquier resultado: si los modelos toleran compresión agresiva, se demuestra la viabilidad del despliegue en dispositivo; si no la toleran, se identifica y localiza el cuello de botella. El abordaje es íntegramente de ingeniería de software e ingeniería de inteligencia artificial: benchmarking riguroso, optimización de modelos, análisis de rendimiento y publicación reproducible del código. No requiere hardware especializado ni datos propios: el estudio es ejecutable con datasets públicos, modelos públicos y equipamiento estándar, con un plan de alcance escalonado que garantiza resultados completos aun con recursos de cómputo limitados.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2026-08-14T20:03:03.968Z</dcterms:created>
  <dcterms:modified xsi:type="dcterms:W3CDTF">2026-08-14T20:03:03.968Z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