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Arial" w:cs="Arial" w:eastAsia="Arial" w:hAnsi="Arial"/>
          <w:b/>
          <w:bCs/>
          <w:sz w:val="28"/>
          <w:szCs w:val="28"/>
        </w:rPr>
        <w:t xml:space="preserve">Definiciones Iniciales TFG</w:t>
      </w:r>
    </w:p>
    <w:p>
      <w:pPr>
        <w:spacing w:after="60" w:line="360"/>
      </w:pPr>
      <w:r>
        <w:rPr>
          <w:rFonts w:ascii="Arial" w:cs="Arial" w:eastAsia="Arial" w:hAnsi="Arial"/>
          <w:b w:val="false"/>
          <w:bCs w:val="false"/>
          <w:sz w:val="24"/>
          <w:szCs w:val="24"/>
        </w:rPr>
        <w:t xml:space="preserve">•  Nombre y apellido: Agustín Tamagusuku</w:t>
      </w:r>
    </w:p>
    <w:p>
      <w:pPr>
        <w:spacing w:after="60" w:line="360"/>
      </w:pPr>
      <w:r>
        <w:rPr>
          <w:rFonts w:ascii="Arial" w:cs="Arial" w:eastAsia="Arial" w:hAnsi="Arial"/>
          <w:b w:val="false"/>
          <w:bCs w:val="false"/>
          <w:sz w:val="24"/>
          <w:szCs w:val="24"/>
        </w:rPr>
        <w:t xml:space="preserve">•  Documento: Completar        Legajo: Completar</w:t>
      </w:r>
    </w:p>
    <w:p>
      <w:pPr>
        <w:spacing w:after="60" w:line="360"/>
      </w:pPr>
      <w:r>
        <w:rPr>
          <w:rFonts w:ascii="Arial" w:cs="Arial" w:eastAsia="Arial" w:hAnsi="Arial"/>
          <w:b w:val="false"/>
          <w:bCs w:val="false"/>
          <w:sz w:val="24"/>
          <w:szCs w:val="24"/>
        </w:rPr>
        <w:t xml:space="preserve">•  Nombre del archivo: Tamagusuku_Agustin - Trabajo de Investigacion.docx</w:t>
      </w:r>
    </w:p>
    <w:p>
      <w:pPr>
        <w:spacing w:after="60" w:line="360"/>
      </w:pPr>
      <w:r>
        <w:rPr>
          <w:rFonts w:ascii="Arial" w:cs="Arial" w:eastAsia="Arial" w:hAnsi="Arial"/>
          <w:b w:val="false"/>
          <w:bCs w:val="false"/>
          <w:sz w:val="24"/>
          <w:szCs w:val="24"/>
        </w:rPr>
        <w:t xml:space="preserve">•  Aprobada día: Consultar con Tutor Experto</w:t>
      </w:r>
    </w:p>
    <w:p>
      <w:pPr>
        <w:spacing w:after="120" w:before="240" w:line="360"/>
      </w:pPr>
      <w:r>
        <w:rPr>
          <w:rFonts w:ascii="Arial" w:cs="Arial" w:eastAsia="Arial" w:hAnsi="Arial"/>
          <w:b/>
          <w:bCs/>
          <w:sz w:val="24"/>
          <w:szCs w:val="24"/>
        </w:rPr>
        <w:t xml:space="preserve">•  Selección del Tipo de TFG</w:t>
      </w:r>
    </w:p>
    <w:p>
      <w:pPr>
        <w:spacing w:after="60" w:line="360"/>
      </w:pPr>
      <w:r>
        <w:rPr>
          <w:rFonts w:ascii="Arial" w:cs="Arial" w:eastAsia="Arial" w:hAnsi="Arial"/>
          <w:b w:val="false"/>
          <w:bCs w:val="false"/>
          <w:sz w:val="24"/>
          <w:szCs w:val="24"/>
        </w:rPr>
        <w:t xml:space="preserve">☐  Prototipado Tecnológico</w:t>
      </w:r>
    </w:p>
    <w:p>
      <w:pPr>
        <w:spacing w:after="60" w:line="360"/>
      </w:pPr>
      <w:r>
        <w:rPr>
          <w:rFonts w:ascii="Arial" w:cs="Arial" w:eastAsia="Arial" w:hAnsi="Arial"/>
          <w:b w:val="false"/>
          <w:bCs w:val="false"/>
          <w:sz w:val="24"/>
          <w:szCs w:val="24"/>
        </w:rPr>
        <w:t xml:space="preserve">☒  Trabajo de Investigación</w:t>
      </w:r>
    </w:p>
    <w:p>
      <w:pPr>
        <w:spacing w:after="120" w:before="240" w:line="360"/>
      </w:pPr>
      <w:r>
        <w:rPr>
          <w:rFonts w:ascii="Arial" w:cs="Arial" w:eastAsia="Arial" w:hAnsi="Arial"/>
          <w:b/>
          <w:bCs/>
          <w:sz w:val="24"/>
          <w:szCs w:val="24"/>
        </w:rPr>
        <w:t xml:space="preserve">•  Líneas Temáticas Estratégicas</w:t>
      </w:r>
    </w:p>
    <w:p>
      <w:pPr>
        <w:spacing w:after="60" w:line="360"/>
      </w:pPr>
      <w:r>
        <w:rPr>
          <w:rFonts w:ascii="Arial" w:cs="Arial" w:eastAsia="Arial" w:hAnsi="Arial"/>
          <w:b w:val="false"/>
          <w:bCs w:val="false"/>
          <w:sz w:val="24"/>
          <w:szCs w:val="24"/>
        </w:rPr>
        <w:t xml:space="preserve">☒  Transformación Digital</w:t>
      </w:r>
    </w:p>
    <w:p>
      <w:pPr>
        <w:spacing w:after="60" w:line="360"/>
      </w:pPr>
      <w:r>
        <w:rPr>
          <w:rFonts w:ascii="Arial" w:cs="Arial" w:eastAsia="Arial" w:hAnsi="Arial"/>
          <w:b w:val="false"/>
          <w:bCs w:val="false"/>
          <w:sz w:val="24"/>
          <w:szCs w:val="24"/>
        </w:rPr>
        <w:t xml:space="preserve">☐  Plataformas de Desarrollo</w:t>
      </w:r>
    </w:p>
    <w:p>
      <w:pPr>
        <w:spacing w:after="60" w:line="360"/>
      </w:pPr>
      <w:r>
        <w:rPr>
          <w:rFonts w:ascii="Arial" w:cs="Arial" w:eastAsia="Arial" w:hAnsi="Arial"/>
          <w:b w:val="false"/>
          <w:bCs w:val="false"/>
          <w:sz w:val="24"/>
          <w:szCs w:val="24"/>
        </w:rPr>
        <w:t xml:space="preserve">☐  Educación Digital</w:t>
      </w:r>
    </w:p>
    <w:p>
      <w:pPr>
        <w:spacing w:after="120" w:before="240" w:line="360"/>
      </w:pPr>
      <w:r>
        <w:rPr>
          <w:rFonts w:ascii="Arial" w:cs="Arial" w:eastAsia="Arial" w:hAnsi="Arial"/>
          <w:b/>
          <w:bCs/>
          <w:sz w:val="24"/>
          <w:szCs w:val="24"/>
        </w:rPr>
        <w:t xml:space="preserve">•  Título tentativo del TFG (aprox. 12 palabras)</w:t>
      </w:r>
    </w:p>
    <w:p>
      <w:pPr>
        <w:spacing w:after="120" w:line="360"/>
        <w:jc w:val="both"/>
      </w:pPr>
      <w:r>
        <w:rPr>
          <w:rFonts w:ascii="Arial" w:cs="Arial" w:eastAsia="Arial" w:hAnsi="Arial"/>
          <w:b w:val="false"/>
          <w:bCs w:val="false"/>
          <w:sz w:val="24"/>
          <w:szCs w:val="24"/>
        </w:rPr>
        <w:t xml:space="preserve">Interfaces cerebro-computadora bajo condiciones adversas: del software a la decodificación</w:t>
      </w:r>
    </w:p>
    <w:p>
      <w:pPr>
        <w:spacing w:after="120" w:before="240" w:line="360"/>
      </w:pPr>
      <w:r>
        <w:rPr>
          <w:rFonts w:ascii="Arial" w:cs="Arial" w:eastAsia="Arial" w:hAnsi="Arial"/>
          <w:b/>
          <w:bCs/>
          <w:sz w:val="24"/>
          <w:szCs w:val="24"/>
        </w:rPr>
        <w:t xml:space="preserve">•  Justificación de la Línea Temática Elegida (3 renglones)</w:t>
      </w:r>
    </w:p>
    <w:p>
      <w:pPr>
        <w:spacing w:after="120" w:line="360"/>
        <w:jc w:val="both"/>
      </w:pPr>
      <w:r>
        <w:rPr>
          <w:rFonts w:ascii="Arial" w:cs="Arial" w:eastAsia="Arial" w:hAnsi="Arial"/>
          <w:b w:val="false"/>
          <w:bCs w:val="false"/>
          <w:sz w:val="24"/>
          <w:szCs w:val="24"/>
        </w:rPr>
        <w:t xml:space="preserve">La transformación digital de la salud se apoya en infraestructura de software abierta cuya confiabilidad nunca fue verificada de forma independiente. Medir su resiliencia con un protocolo reproducible fortalece las herramientas digitales sobre las que avanza la neurotecnología.</w:t>
      </w:r>
    </w:p>
    <w:p>
      <w:pPr>
        <w:spacing w:after="120" w:before="240" w:line="360"/>
      </w:pPr>
      <w:r>
        <w:rPr>
          <w:rFonts w:ascii="Arial" w:cs="Arial" w:eastAsia="Arial" w:hAnsi="Arial"/>
          <w:b/>
          <w:bCs/>
          <w:sz w:val="24"/>
          <w:szCs w:val="24"/>
        </w:rPr>
        <w:t xml:space="preserve">•  Explicación Tema (entre 5 y 15 renglones)</w:t>
      </w:r>
    </w:p>
    <w:p>
      <w:pPr>
        <w:spacing w:after="120" w:line="360"/>
        <w:jc w:val="both"/>
      </w:pPr>
      <w:r>
        <w:rPr>
          <w:rFonts w:ascii="Arial" w:cs="Arial" w:eastAsia="Arial" w:hAnsi="Arial"/>
          <w:b w:val="false"/>
          <w:bCs w:val="false"/>
          <w:sz w:val="24"/>
          <w:szCs w:val="24"/>
        </w:rPr>
        <w:t xml:space="preserve">La investigación en interfaces cerebro-computadora (BCI) procesa señal neural en tiempo real mediante una cadena de software —adquisición, transporte, preprocesamiento, decodificación y decisión— sostenida por un ecosistema de código abierto cuyo estándar de transporte es Lab Streaming Layer, mencionado en más de 2.300 artículos científicos según sus autores. Ese software declara mecanismos de reconexión, corrección temporal y tolerancia a la pérdida de datos, pero no existe una verificación independiente y cuantitativa de ese comportamiento, ni una medición de cómo esas fallas se propagan hasta la decisión final del sistema. Este trabajo construye un banco de experimentación Software-in-the-Loop que reproduce señal electroencefalográfica pública como flujo en tiempo real, inyecta fallos controlados —pérdida de muestras, jitter, retraso y desconexión—, registra telemetría del sistema y mide en paralelo propiedades técnicas (integridad, latencia, disponibilidad y tiempo de recuperación) y el desempeño funcional de un decodificador de referencia. El estudio investiga además si existen condiciones en las que la infraestructura aparenta operar con normalidad mientras la calidad funcional se degrada, y si un detector basado en telemetría multivariable ofrece ventajas frente a mecanismos convencionales por umbrales.</w:t>
      </w:r>
    </w:p>
    <w:p>
      <w:pPr>
        <w:spacing w:after="120" w:before="240" w:line="360"/>
      </w:pPr>
      <w:r>
        <w:rPr>
          <w:rFonts w:ascii="Arial" w:cs="Arial" w:eastAsia="Arial" w:hAnsi="Arial"/>
          <w:b/>
          <w:bCs/>
          <w:sz w:val="24"/>
          <w:szCs w:val="24"/>
        </w:rPr>
        <w:t xml:space="preserve">•  Problema que se aborda o pregunta de investigación (entre 3 y 5 renglones)</w:t>
      </w:r>
    </w:p>
    <w:p>
      <w:pPr>
        <w:spacing w:after="120" w:line="360"/>
        <w:jc w:val="both"/>
      </w:pPr>
      <w:r>
        <w:rPr>
          <w:rFonts w:ascii="Arial" w:cs="Arial" w:eastAsia="Arial" w:hAnsi="Arial"/>
          <w:b w:val="false"/>
          <w:bCs w:val="false"/>
          <w:sz w:val="24"/>
          <w:szCs w:val="24"/>
        </w:rPr>
        <w:t xml:space="preserve">¿Cómo se propagan fallos controlados de la capa de transporte de señal —pérdida de muestras, jitter, retraso y desconexión— hacia las propiedades operativas y el desempeño funcional de un pipeline BCI en tiempo real? ¿Existen condiciones en las que la infraestructura permanece operativa mientras la decodificación se degrada, y en qué medida la telemetría del sistema permite detectar o anticipar esa degradación?</w:t>
      </w:r>
    </w:p>
    <w:p>
      <w:pPr>
        <w:spacing w:after="120" w:before="240" w:line="360"/>
      </w:pPr>
      <w:r>
        <w:rPr>
          <w:rFonts w:ascii="Arial" w:cs="Arial" w:eastAsia="Arial" w:hAnsi="Arial"/>
          <w:b/>
          <w:bCs/>
          <w:sz w:val="24"/>
          <w:szCs w:val="24"/>
        </w:rPr>
        <w:t xml:space="preserve">•  Revisión de literatura principal (citar 4 trabajos)</w:t>
      </w:r>
    </w:p>
    <w:p>
      <w:pPr>
        <w:keepLines/>
        <w:spacing w:after="120" w:line="360"/>
        <w:ind w:left="360" w:hanging="360"/>
      </w:pPr>
      <w:r>
        <w:rPr>
          <w:rFonts w:ascii="Arial" w:cs="Arial" w:eastAsia="Arial" w:hAnsi="Arial"/>
          <w:b w:val="false"/>
          <w:bCs w:val="false"/>
          <w:sz w:val="24"/>
          <w:szCs w:val="24"/>
        </w:rPr>
        <w:t xml:space="preserve">Kothe, C., Shirazi, S. Y., Stenner, T., Medine, D., Boulay, C., Grivich, M. I., Artoni, F., Mullen, T., Delorme, A., y Makeig, S. (2025). The lab streaming layer for synchronized multimodal recording. </w:t>
      </w:r>
      <w:r>
        <w:rPr>
          <w:rFonts w:ascii="Arial" w:cs="Arial" w:eastAsia="Arial" w:hAnsi="Arial"/>
          <w:b w:val="false"/>
          <w:bCs w:val="false"/>
          <w:i/>
          <w:iCs/>
          <w:sz w:val="24"/>
          <w:szCs w:val="24"/>
        </w:rPr>
        <w:t xml:space="preserve">Imaging Neuroscience, 3</w:t>
      </w:r>
      <w:r>
        <w:rPr>
          <w:rFonts w:ascii="Arial" w:cs="Arial" w:eastAsia="Arial" w:hAnsi="Arial"/>
          <w:b w:val="false"/>
          <w:bCs w:val="false"/>
          <w:sz w:val="24"/>
          <w:szCs w:val="24"/>
        </w:rPr>
        <w:t xml:space="preserve">. https://doi.org/10.1162/IMAG.a.136</w:t>
      </w:r>
    </w:p>
    <w:p>
      <w:pPr>
        <w:keepLines/>
        <w:spacing w:after="120" w:line="360"/>
        <w:ind w:left="360" w:hanging="360"/>
      </w:pPr>
      <w:r>
        <w:rPr>
          <w:rFonts w:ascii="Arial" w:cs="Arial" w:eastAsia="Arial" w:hAnsi="Arial"/>
          <w:b w:val="false"/>
          <w:bCs w:val="false"/>
          <w:sz w:val="24"/>
          <w:szCs w:val="24"/>
        </w:rPr>
        <w:t xml:space="preserve">Vogel, A., Henning, S., Perez-Wohlfeil, E., Ertl, O., y Rabiser, R. (2024). A comprehensive benchmarking analysis of fault recovery in stream processing frameworks. </w:t>
      </w:r>
      <w:r>
        <w:rPr>
          <w:rFonts w:ascii="Arial" w:cs="Arial" w:eastAsia="Arial" w:hAnsi="Arial"/>
          <w:b w:val="false"/>
          <w:bCs w:val="false"/>
          <w:i/>
          <w:iCs/>
          <w:sz w:val="24"/>
          <w:szCs w:val="24"/>
        </w:rPr>
        <w:t xml:space="preserve">arXiv</w:t>
      </w:r>
      <w:r>
        <w:rPr>
          <w:rFonts w:ascii="Arial" w:cs="Arial" w:eastAsia="Arial" w:hAnsi="Arial"/>
          <w:b w:val="false"/>
          <w:bCs w:val="false"/>
          <w:sz w:val="24"/>
          <w:szCs w:val="24"/>
        </w:rPr>
        <w:t xml:space="preserve">. https://arxiv.org/abs/2404.06203</w:t>
      </w:r>
    </w:p>
    <w:p>
      <w:pPr>
        <w:keepLines/>
        <w:spacing w:after="120" w:line="360"/>
        <w:ind w:left="360" w:hanging="360"/>
      </w:pPr>
      <w:r>
        <w:rPr>
          <w:rFonts w:ascii="Arial" w:cs="Arial" w:eastAsia="Arial" w:hAnsi="Arial"/>
          <w:b w:val="false"/>
          <w:bCs w:val="false"/>
          <w:sz w:val="24"/>
          <w:szCs w:val="24"/>
        </w:rPr>
        <w:t xml:space="preserve">Natella, R., Cotroneo, D., y Madeira, H. (2016). Assessing dependability with software fault injection: A survey. </w:t>
      </w:r>
      <w:r>
        <w:rPr>
          <w:rFonts w:ascii="Arial" w:cs="Arial" w:eastAsia="Arial" w:hAnsi="Arial"/>
          <w:b w:val="false"/>
          <w:bCs w:val="false"/>
          <w:i/>
          <w:iCs/>
          <w:sz w:val="24"/>
          <w:szCs w:val="24"/>
        </w:rPr>
        <w:t xml:space="preserve">ACM Computing Surveys, 48</w:t>
      </w:r>
      <w:r>
        <w:rPr>
          <w:rFonts w:ascii="Arial" w:cs="Arial" w:eastAsia="Arial" w:hAnsi="Arial"/>
          <w:b w:val="false"/>
          <w:bCs w:val="false"/>
          <w:sz w:val="24"/>
          <w:szCs w:val="24"/>
        </w:rPr>
        <w:t xml:space="preserve">(3), artículo 44. https://doi.org/10.1145/2841425</w:t>
      </w:r>
    </w:p>
    <w:p>
      <w:pPr>
        <w:keepLines/>
        <w:spacing w:after="120" w:line="360"/>
        <w:ind w:left="360" w:hanging="360"/>
      </w:pPr>
      <w:r>
        <w:rPr>
          <w:rFonts w:ascii="Arial" w:cs="Arial" w:eastAsia="Arial" w:hAnsi="Arial"/>
          <w:b w:val="false"/>
          <w:bCs w:val="false"/>
          <w:sz w:val="24"/>
          <w:szCs w:val="24"/>
        </w:rPr>
        <w:t xml:space="preserve">Gemborn Nilsson, M., Tufvesson, P., Heskebeck, F., y Johansson, M. (2023). An open-source human-in-the-loop BCI research framework: Method and design. </w:t>
      </w:r>
      <w:r>
        <w:rPr>
          <w:rFonts w:ascii="Arial" w:cs="Arial" w:eastAsia="Arial" w:hAnsi="Arial"/>
          <w:b w:val="false"/>
          <w:bCs w:val="false"/>
          <w:i/>
          <w:iCs/>
          <w:sz w:val="24"/>
          <w:szCs w:val="24"/>
        </w:rPr>
        <w:t xml:space="preserve">Frontiers in Human Neuroscience, 17</w:t>
      </w:r>
      <w:r>
        <w:rPr>
          <w:rFonts w:ascii="Arial" w:cs="Arial" w:eastAsia="Arial" w:hAnsi="Arial"/>
          <w:b w:val="false"/>
          <w:bCs w:val="false"/>
          <w:sz w:val="24"/>
          <w:szCs w:val="24"/>
        </w:rPr>
        <w:t xml:space="preserve">. https://doi.org/10.3389/fnhum.2023.1129362</w:t>
      </w:r>
    </w:p>
    <w:p>
      <w:pPr>
        <w:spacing w:after="120" w:before="240" w:line="360"/>
      </w:pPr>
      <w:r>
        <w:rPr>
          <w:rFonts w:ascii="Arial" w:cs="Arial" w:eastAsia="Arial" w:hAnsi="Arial"/>
          <w:b/>
          <w:bCs/>
          <w:sz w:val="24"/>
          <w:szCs w:val="24"/>
        </w:rPr>
        <w:t xml:space="preserve">•  Justificación del Trabajo Final de Graduación (entre 15 y 20 renglones)</w:t>
      </w:r>
    </w:p>
    <w:p>
      <w:pPr>
        <w:spacing w:after="120" w:line="360"/>
        <w:jc w:val="both"/>
      </w:pPr>
      <w:r>
        <w:rPr>
          <w:rFonts w:ascii="Arial" w:cs="Arial" w:eastAsia="Arial" w:hAnsi="Arial"/>
          <w:b w:val="false"/>
          <w:bCs w:val="false"/>
          <w:sz w:val="24"/>
          <w:szCs w:val="24"/>
        </w:rPr>
        <w:t xml:space="preserve">La validación científica, la replicación de resultados y la formación en neurotecnología no ocurren sobre los desarrollos propietarios de la industria, sino sobre un ecosistema de software abierto que sostiene miles de estudios. Si esa infraestructura pierde muestras sin avisar o degrada la señal ante una desconexión, los resultados construidos sobre ella quedan comprometidos, y con ellos los sistemas que buscan devolver comunicación y control a personas con parálisis. El trabajo aplica una disciplina central de la Ingeniería de Software —la evaluación de dependability mediante inyección de fallos— a una infraestructura que declara mecanismos de recuperación pero nunca fue medida de forma independiente ni evaluada por su efecto sobre la decodificación. La evaluación es justa: somete al software exactamente a las condiciones que sus autores afirman tolerar. El estudio adapta un protocolo publicado de benchmarking de recuperación ante fallas en frameworks de procesamiento de flujos, lo que reduce el riesgo metodológico. Se construirá un banco experimental Software-in-the-Loop con datos electroencefalográficos públicos, un reproductor de señal en tiempo real, inyectores de fallos parametrizables, un decodificador de referencia y una capa de telemetría; sobre él se ejecutarán campañas controladas que varían tipo y severidad de falla. El diseño es informativo en cualquier resultado: si el software absorbe las fallas, se documenta evidencia de robustez; si no, se obtiene el mapa preciso de sus puntos débiles. En ambos casos el protocolo y los inyectores quedan publicados como herramienta reproducible para la comunidad. El trabajo es ejecutable en cuatro meses con recursos mínimos: datos públicos, software libre, sin hardware de adquisición ni unidades de procesamiento gráfico.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2026-08-14T20:03:03.961Z</dcterms:created>
  <dcterms:modified xsi:type="dcterms:W3CDTF">2026-08-14T20:03:03.963Z</dcterms:modified>
</cp:coreProperties>
</file>

<file path=docProps/custom.xml><?xml version="1.0" encoding="utf-8"?>
<Properties xmlns="http://schemas.openxmlformats.org/officeDocument/2006/custom-properties" xmlns:vt="http://schemas.openxmlformats.org/officeDocument/2006/docPropsVTypes"/>
</file>