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color w:val="555555"/>
          <w:sz w:val="20"/>
        </w:rPr>
        <w:t>Universidad Argentina de la Empresa — Ciencia de Datos</w:t>
      </w:r>
    </w:p>
    <w:p>
      <w:pPr>
        <w:pStyle w:val="Title"/>
        <w:spacing w:after="120"/>
        <w:jc w:val="center"/>
      </w:pPr>
      <w:r>
        <w:rPr>
          <w:color w:val="1A1A2E"/>
          <w:sz w:val="36"/>
        </w:rPr>
        <w:t>Análisis de Precios de Shampoos y Acondicionadores en el Mercado Digital Argentino</w:t>
      </w:r>
    </w:p>
    <w:p>
      <w:pPr>
        <w:spacing w:after="280"/>
        <w:jc w:val="center"/>
      </w:pPr>
      <w:r>
        <w:rPr>
          <w:color w:val="444444"/>
          <w:sz w:val="24"/>
        </w:rPr>
        <w:t>Proyecto Integrador — 2026</w:t>
      </w:r>
    </w:p>
    <w:p>
      <w:pPr>
        <w:spacing w:after="40"/>
        <w:jc w:val="center"/>
      </w:pPr>
      <w:r>
        <w:rPr>
          <w:color w:val="444444"/>
          <w:sz w:val="20"/>
        </w:rPr>
        <w:t>Alumno: Agustín Pérez</w:t>
      </w:r>
    </w:p>
    <w:p>
      <w:pPr>
        <w:spacing w:after="40"/>
        <w:jc w:val="center"/>
      </w:pPr>
      <w:r>
        <w:rPr>
          <w:color w:val="444444"/>
          <w:sz w:val="20"/>
        </w:rPr>
        <w:t>Dataset: 1.562 productos únicos disponibles · Jumbo, Farmacity, Disco</w:t>
      </w:r>
    </w:p>
    <w:p>
      <w:pPr>
        <w:spacing w:after="40"/>
        <w:jc w:val="center"/>
      </w:pPr>
      <w:r>
        <w:rPr>
          <w:color w:val="444444"/>
          <w:sz w:val="20"/>
        </w:rPr>
        <w:t>Período de scraping: Junio 2026</w:t>
      </w:r>
    </w:p>
    <w:p/>
    <w:p>
      <w:r>
        <w:br w:type="page"/>
      </w:r>
    </w:p>
    <w:p>
      <w:pPr>
        <w:pStyle w:val="Heading1"/>
        <w:spacing w:before="240" w:after="80"/>
      </w:pPr>
      <w:r>
        <w:rPr>
          <w:b/>
          <w:color w:val="1A1A2E"/>
        </w:rPr>
        <w:t>1. Hipótesis de Análisis</w:t>
      </w:r>
    </w:p>
    <w:p>
      <w:pPr>
        <w:spacing w:before="0" w:after="120"/>
        <w:jc w:val="both"/>
      </w:pPr>
      <w:r>
        <w:rPr>
          <w:i w:val="0"/>
          <w:sz w:val="21"/>
        </w:rPr>
        <w:t>El mercado de cuidado capilar en Argentina presenta una oferta amplia y segmentada entre retailers con distintos perfiles de precio. Se plantean tres hipótesis sobre la estructura de precios en el canal digital:</w:t>
      </w:r>
    </w:p>
    <w:tbl>
      <w:tblPr>
        <w:tblW w:type="auto" w:w="0"/>
        <w:jc w:val="left"/>
        <w:tblLook w:firstColumn="1" w:firstRow="1" w:lastColumn="0" w:lastRow="0" w:noHBand="0" w:noVBand="1" w:val="04A0"/>
      </w:tblPr>
      <w:tblGrid>
        <w:gridCol w:w="9066"/>
      </w:tblGrid>
      <w:tr>
        <w:tc>
          <w:tcPr>
            <w:tcW w:type="dxa" w:w="9071"/>
            <w:shd w:val="clear" w:color="auto" w:fill="EAF2FF"/>
          </w:tcPr>
          <w:p>
            <w:pPr>
              <w:spacing w:before="80" w:after="40"/>
            </w:pPr>
            <w:r>
              <w:rPr>
                <w:b/>
                <w:color w:val="1A5276"/>
                <w:sz w:val="18"/>
              </w:rPr>
              <w:t>H1 — Línea de producto</w:t>
            </w:r>
          </w:p>
          <w:p>
            <w:pPr>
              <w:spacing w:before="0" w:after="80"/>
            </w:pPr>
            <w:r>
              <w:rPr>
                <w:sz w:val="21"/>
              </w:rPr>
              <w:t>Los productos de línea profesional tienen un precio por ml superior a los de línea estándar, debido a su formulación diferenciada y posicionamiento premium.</w:t>
            </w:r>
          </w:p>
        </w:tc>
      </w:tr>
    </w:tbl>
    <w:p/>
    <w:tbl>
      <w:tblPr>
        <w:tblW w:type="auto" w:w="0"/>
        <w:jc w:val="left"/>
        <w:tblLook w:firstColumn="1" w:firstRow="1" w:lastColumn="0" w:lastRow="0" w:noHBand="0" w:noVBand="1" w:val="04A0"/>
      </w:tblPr>
      <w:tblGrid>
        <w:gridCol w:w="9066"/>
      </w:tblGrid>
      <w:tr>
        <w:tc>
          <w:tcPr>
            <w:tcW w:type="dxa" w:w="9071"/>
            <w:shd w:val="clear" w:color="auto" w:fill="EAF2FF"/>
          </w:tcPr>
          <w:p>
            <w:pPr>
              <w:spacing w:before="80" w:after="40"/>
            </w:pPr>
            <w:r>
              <w:rPr>
                <w:b/>
                <w:color w:val="1A5276"/>
                <w:sz w:val="18"/>
              </w:rPr>
              <w:t>H2 — Tipo de cabello</w:t>
            </w:r>
          </w:p>
          <w:p>
            <w:pPr>
              <w:spacing w:before="0" w:after="80"/>
            </w:pPr>
            <w:r>
              <w:rPr>
                <w:sz w:val="21"/>
              </w:rPr>
              <w:t>Los productos para cabello rizado o tratado/teñido presentan un mayor precio por ml que los de uso general, dado que están orientados a necesidades específicas con ingredientes especializados.</w:t>
            </w:r>
          </w:p>
        </w:tc>
      </w:tr>
    </w:tbl>
    <w:p/>
    <w:tbl>
      <w:tblPr>
        <w:tblW w:type="auto" w:w="0"/>
        <w:jc w:val="left"/>
        <w:tblLook w:firstColumn="1" w:firstRow="1" w:lastColumn="0" w:lastRow="0" w:noHBand="0" w:noVBand="1" w:val="04A0"/>
      </w:tblPr>
      <w:tblGrid>
        <w:gridCol w:w="9066"/>
      </w:tblGrid>
      <w:tr>
        <w:tc>
          <w:tcPr>
            <w:tcW w:type="dxa" w:w="9071"/>
            <w:shd w:val="clear" w:color="auto" w:fill="EAF2FF"/>
          </w:tcPr>
          <w:p>
            <w:pPr>
              <w:spacing w:before="80" w:after="40"/>
            </w:pPr>
            <w:r>
              <w:rPr>
                <w:b/>
                <w:color w:val="1A5276"/>
                <w:sz w:val="18"/>
              </w:rPr>
              <w:t>H3 — Canal de venta</w:t>
            </w:r>
          </w:p>
          <w:p>
            <w:pPr>
              <w:spacing w:before="0" w:after="80"/>
            </w:pPr>
            <w:r>
              <w:rPr>
                <w:sz w:val="21"/>
              </w:rPr>
              <w:t>La dispersión de precios en Farmacity (farmacia especializada) es significativamente mayor que en Jumbo y Disco (supermercados), dado su mix de productos masivos y premium.</w:t>
            </w:r>
          </w:p>
        </w:tc>
      </w:tr>
    </w:tbl>
    <w:p/>
    <w:p>
      <w:pPr>
        <w:pStyle w:val="Heading1"/>
        <w:spacing w:before="240" w:after="80"/>
      </w:pPr>
      <w:r>
        <w:rPr>
          <w:b/>
          <w:color w:val="1A1A2E"/>
        </w:rPr>
        <w:t>2. Descripción Metodológica</w:t>
      </w:r>
    </w:p>
    <w:p>
      <w:pPr>
        <w:pStyle w:val="Heading2"/>
        <w:spacing w:before="120" w:after="80"/>
      </w:pPr>
      <w:r>
        <w:rPr>
          <w:b/>
          <w:color w:val="1A5276"/>
        </w:rPr>
        <w:t>2.1  Scraping de datos</w:t>
      </w:r>
    </w:p>
    <w:p>
      <w:pPr>
        <w:spacing w:before="0" w:after="120"/>
        <w:jc w:val="both"/>
      </w:pPr>
      <w:r>
        <w:rPr>
          <w:i w:val="0"/>
          <w:sz w:val="21"/>
        </w:rPr>
        <w:t>Se utilizó la API pública VTEX (plataforma de e-commerce en la que operan los tres retailers) para extraer productos de las categorías shampoo y acondicionador. El endpoint consultado fue:</w:t>
      </w:r>
    </w:p>
    <w:p>
      <w:pPr>
        <w:spacing w:before="40" w:after="120"/>
        <w:ind w:left="567"/>
      </w:pPr>
      <w:r>
        <w:rPr>
          <w:rFonts w:ascii="Courier New" w:hAnsi="Courier New"/>
          <w:sz w:val="18"/>
        </w:rPr>
        <w:t>https://{retailer}/api/catalog_system/pub/products/search/{término}?_from=0&amp;_to=49</w:t>
      </w:r>
    </w:p>
    <w:p>
      <w:pPr>
        <w:spacing w:before="0" w:after="120"/>
        <w:jc w:val="both"/>
      </w:pPr>
      <w:r>
        <w:rPr>
          <w:i w:val="0"/>
          <w:sz w:val="21"/>
        </w:rPr>
        <w:t>Se aplicó paginación automática (parámetros _from / _to) hasta recorrer el catálogo completo. Solo se retuvieron registros con disponible = True para garantizar que los precios reflejen la oferta activa al momento del scraping. Los términos de búsqueda incluyeron denominaciones genéricas (shampoo, acondicionador, tratamiento capilar) y nombres de marcas principales.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20"/>
              </w:rPr>
              <w:t>Fuente</w:t>
            </w:r>
          </w:p>
        </w:tc>
        <w:tc>
          <w:tcPr>
            <w:tcW w:type="dxa" w:w="1813"/>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20"/>
              </w:rPr>
              <w:t>Tipo</w:t>
            </w:r>
          </w:p>
        </w:tc>
        <w:tc>
          <w:tcPr>
            <w:tcW w:type="dxa" w:w="1813"/>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20"/>
              </w:rPr>
              <w:t>Registros raw</w:t>
            </w:r>
          </w:p>
        </w:tc>
        <w:tc>
          <w:tcPr>
            <w:tcW w:type="dxa" w:w="1813"/>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20"/>
              </w:rPr>
              <w:t>Disponibles</w:t>
            </w:r>
          </w:p>
        </w:tc>
        <w:tc>
          <w:tcPr>
            <w:tcW w:type="dxa" w:w="1813"/>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20"/>
              </w:rPr>
              <w:t>Dataset final</w:t>
            </w:r>
          </w:p>
        </w:tc>
      </w:tr>
      <w:tr>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Jumbo</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Supermercado</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2.631</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393</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386</w:t>
            </w:r>
          </w:p>
        </w:tc>
      </w:tr>
      <w:tr>
        <w:tc>
          <w:tcPr>
            <w:tcW w:type="dxa" w:w="1813"/>
            <w:shd w:val="clear" w:color="auto" w:fill="FFFFFF"/>
            <w:tcBorders>
              <w:top w:val="single" w:sz="4" w:space="0" w:color="C5D8EF"/>
              <w:left w:val="single" w:sz="4" w:space="0" w:color="C5D8EF"/>
              <w:bottom w:val="single" w:sz="4" w:space="0" w:color="C5D8EF"/>
              <w:right w:val="single" w:sz="4" w:space="0" w:color="C5D8EF"/>
            </w:tcBorders>
          </w:tcPr>
          <w:p>
            <w:r>
              <w:rPr>
                <w:b w:val="0"/>
                <w:sz w:val="20"/>
              </w:rPr>
              <w:t>Farmacity</w:t>
            </w:r>
          </w:p>
        </w:tc>
        <w:tc>
          <w:tcPr>
            <w:tcW w:type="dxa" w:w="1813"/>
            <w:shd w:val="clear" w:color="auto" w:fill="FFFFFF"/>
            <w:tcBorders>
              <w:top w:val="single" w:sz="4" w:space="0" w:color="C5D8EF"/>
              <w:left w:val="single" w:sz="4" w:space="0" w:color="C5D8EF"/>
              <w:bottom w:val="single" w:sz="4" w:space="0" w:color="C5D8EF"/>
              <w:right w:val="single" w:sz="4" w:space="0" w:color="C5D8EF"/>
            </w:tcBorders>
          </w:tcPr>
          <w:p>
            <w:r>
              <w:rPr>
                <w:b w:val="0"/>
                <w:sz w:val="20"/>
              </w:rPr>
              <w:t>Farmacia</w:t>
            </w:r>
          </w:p>
        </w:tc>
        <w:tc>
          <w:tcPr>
            <w:tcW w:type="dxa" w:w="1813"/>
            <w:shd w:val="clear" w:color="auto" w:fill="FFFFFF"/>
            <w:tcBorders>
              <w:top w:val="single" w:sz="4" w:space="0" w:color="C5D8EF"/>
              <w:left w:val="single" w:sz="4" w:space="0" w:color="C5D8EF"/>
              <w:bottom w:val="single" w:sz="4" w:space="0" w:color="C5D8EF"/>
              <w:right w:val="single" w:sz="4" w:space="0" w:color="C5D8EF"/>
            </w:tcBorders>
          </w:tcPr>
          <w:p>
            <w:r>
              <w:rPr>
                <w:b w:val="0"/>
                <w:sz w:val="20"/>
              </w:rPr>
              <w:t>1.111</w:t>
            </w:r>
          </w:p>
        </w:tc>
        <w:tc>
          <w:tcPr>
            <w:tcW w:type="dxa" w:w="1813"/>
            <w:shd w:val="clear" w:color="auto" w:fill="FFFFFF"/>
            <w:tcBorders>
              <w:top w:val="single" w:sz="4" w:space="0" w:color="C5D8EF"/>
              <w:left w:val="single" w:sz="4" w:space="0" w:color="C5D8EF"/>
              <w:bottom w:val="single" w:sz="4" w:space="0" w:color="C5D8EF"/>
              <w:right w:val="single" w:sz="4" w:space="0" w:color="C5D8EF"/>
            </w:tcBorders>
          </w:tcPr>
          <w:p>
            <w:r>
              <w:rPr>
                <w:b w:val="0"/>
                <w:sz w:val="20"/>
              </w:rPr>
              <w:t>894</w:t>
            </w:r>
          </w:p>
        </w:tc>
        <w:tc>
          <w:tcPr>
            <w:tcW w:type="dxa" w:w="1813"/>
            <w:shd w:val="clear" w:color="auto" w:fill="FFFFFF"/>
            <w:tcBorders>
              <w:top w:val="single" w:sz="4" w:space="0" w:color="C5D8EF"/>
              <w:left w:val="single" w:sz="4" w:space="0" w:color="C5D8EF"/>
              <w:bottom w:val="single" w:sz="4" w:space="0" w:color="C5D8EF"/>
              <w:right w:val="single" w:sz="4" w:space="0" w:color="C5D8EF"/>
            </w:tcBorders>
          </w:tcPr>
          <w:p>
            <w:r>
              <w:rPr>
                <w:b w:val="0"/>
                <w:sz w:val="20"/>
              </w:rPr>
              <w:t>876</w:t>
            </w:r>
          </w:p>
        </w:tc>
      </w:tr>
      <w:tr>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Disco</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Supermercado</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2.738</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304</w:t>
            </w:r>
          </w:p>
        </w:tc>
        <w:tc>
          <w:tcPr>
            <w:tcW w:type="dxa" w:w="1813"/>
            <w:shd w:val="clear" w:color="auto" w:fill="F4F8FF"/>
            <w:tcBorders>
              <w:top w:val="single" w:sz="4" w:space="0" w:color="C5D8EF"/>
              <w:left w:val="single" w:sz="4" w:space="0" w:color="C5D8EF"/>
              <w:bottom w:val="single" w:sz="4" w:space="0" w:color="C5D8EF"/>
              <w:right w:val="single" w:sz="4" w:space="0" w:color="C5D8EF"/>
            </w:tcBorders>
          </w:tcPr>
          <w:p>
            <w:r>
              <w:rPr>
                <w:b w:val="0"/>
                <w:sz w:val="20"/>
              </w:rPr>
              <w:t>300</w:t>
            </w:r>
          </w:p>
        </w:tc>
      </w:tr>
      <w:tr>
        <w:tc>
          <w:tcPr>
            <w:tcW w:type="dxa" w:w="1813"/>
            <w:shd w:val="clear" w:color="auto" w:fill="EAF2FF"/>
            <w:tcBorders>
              <w:top w:val="single" w:sz="4" w:space="0" w:color="C5D8EF"/>
              <w:left w:val="single" w:sz="4" w:space="0" w:color="C5D8EF"/>
              <w:bottom w:val="single" w:sz="4" w:space="0" w:color="C5D8EF"/>
              <w:right w:val="single" w:sz="4" w:space="0" w:color="C5D8EF"/>
            </w:tcBorders>
          </w:tcPr>
          <w:p>
            <w:r>
              <w:rPr>
                <w:b/>
                <w:sz w:val="20"/>
              </w:rPr>
              <w:t>Total</w:t>
            </w:r>
          </w:p>
        </w:tc>
        <w:tc>
          <w:tcPr>
            <w:tcW w:type="dxa" w:w="1813"/>
            <w:shd w:val="clear" w:color="auto" w:fill="EAF2FF"/>
            <w:tcBorders>
              <w:top w:val="single" w:sz="4" w:space="0" w:color="C5D8EF"/>
              <w:left w:val="single" w:sz="4" w:space="0" w:color="C5D8EF"/>
              <w:bottom w:val="single" w:sz="4" w:space="0" w:color="C5D8EF"/>
              <w:right w:val="single" w:sz="4" w:space="0" w:color="C5D8EF"/>
            </w:tcBorders>
          </w:tcPr>
          <w:p>
            <w:r>
              <w:rPr>
                <w:b/>
                <w:sz w:val="20"/>
              </w:rPr>
            </w:r>
          </w:p>
        </w:tc>
        <w:tc>
          <w:tcPr>
            <w:tcW w:type="dxa" w:w="1813"/>
            <w:shd w:val="clear" w:color="auto" w:fill="EAF2FF"/>
            <w:tcBorders>
              <w:top w:val="single" w:sz="4" w:space="0" w:color="C5D8EF"/>
              <w:left w:val="single" w:sz="4" w:space="0" w:color="C5D8EF"/>
              <w:bottom w:val="single" w:sz="4" w:space="0" w:color="C5D8EF"/>
              <w:right w:val="single" w:sz="4" w:space="0" w:color="C5D8EF"/>
            </w:tcBorders>
          </w:tcPr>
          <w:p>
            <w:r>
              <w:rPr>
                <w:b/>
                <w:sz w:val="20"/>
              </w:rPr>
              <w:t>6.480</w:t>
            </w:r>
          </w:p>
        </w:tc>
        <w:tc>
          <w:tcPr>
            <w:tcW w:type="dxa" w:w="1813"/>
            <w:shd w:val="clear" w:color="auto" w:fill="EAF2FF"/>
            <w:tcBorders>
              <w:top w:val="single" w:sz="4" w:space="0" w:color="C5D8EF"/>
              <w:left w:val="single" w:sz="4" w:space="0" w:color="C5D8EF"/>
              <w:bottom w:val="single" w:sz="4" w:space="0" w:color="C5D8EF"/>
              <w:right w:val="single" w:sz="4" w:space="0" w:color="C5D8EF"/>
            </w:tcBorders>
          </w:tcPr>
          <w:p>
            <w:r>
              <w:rPr>
                <w:b/>
                <w:sz w:val="20"/>
              </w:rPr>
              <w:t>1.591</w:t>
            </w:r>
          </w:p>
        </w:tc>
        <w:tc>
          <w:tcPr>
            <w:tcW w:type="dxa" w:w="1813"/>
            <w:shd w:val="clear" w:color="auto" w:fill="EAF2FF"/>
            <w:tcBorders>
              <w:top w:val="single" w:sz="4" w:space="0" w:color="C5D8EF"/>
              <w:left w:val="single" w:sz="4" w:space="0" w:color="C5D8EF"/>
              <w:bottom w:val="single" w:sz="4" w:space="0" w:color="C5D8EF"/>
              <w:right w:val="single" w:sz="4" w:space="0" w:color="C5D8EF"/>
            </w:tcBorders>
          </w:tcPr>
          <w:p>
            <w:r>
              <w:rPr>
                <w:b/>
                <w:sz w:val="20"/>
              </w:rPr>
              <w:t>1.562</w:t>
            </w:r>
          </w:p>
        </w:tc>
      </w:tr>
    </w:tbl>
    <w:p/>
    <w:p>
      <w:pPr>
        <w:pStyle w:val="Heading2"/>
        <w:spacing w:before="120" w:after="80"/>
      </w:pPr>
      <w:r>
        <w:rPr>
          <w:b/>
          <w:color w:val="1A5276"/>
        </w:rPr>
        <w:t>2.2  Limpieza y procesamiento</w:t>
      </w:r>
    </w:p>
    <w:p>
      <w:pPr>
        <w:spacing w:before="0" w:after="120"/>
        <w:jc w:val="both"/>
      </w:pPr>
      <w:r>
        <w:rPr>
          <w:i w:val="0"/>
          <w:sz w:val="21"/>
        </w:rPr>
        <w:t>El pipeline de limpieza se implementó en Python (pandas) y aplicó los siguientes filtros secuencialmente:</w:t>
      </w:r>
    </w:p>
    <w:p>
      <w:pPr>
        <w:pStyle w:val="ListNumber"/>
        <w:spacing w:after="60"/>
      </w:pPr>
      <w:r>
        <w:rPr>
          <w:sz w:val="21"/>
        </w:rPr>
        <w:t>Filtro de disponibilidad: eliminación de registros con disponible = False (precios históricos del catálogo VTEX sin stock activo).</w:t>
      </w:r>
    </w:p>
    <w:p>
      <w:pPr>
        <w:pStyle w:val="ListNumber"/>
        <w:spacing w:after="60"/>
      </w:pPr>
      <w:r>
        <w:rPr>
          <w:sz w:val="21"/>
        </w:rPr>
        <w:t>Filtro de precio mínimo: descarte de productos con precio inferior a $500 ARS.</w:t>
      </w:r>
    </w:p>
    <w:p>
      <w:pPr>
        <w:pStyle w:val="ListNumber"/>
        <w:spacing w:after="60"/>
      </w:pPr>
      <w:r>
        <w:rPr>
          <w:sz w:val="21"/>
        </w:rPr>
        <w:t>Eliminación de no capilares: remoción de productos colados por las búsquedas (juguetes, cremas corporales, colonias bebé) mediante lista de palabras clave negativas.</w:t>
      </w:r>
    </w:p>
    <w:p>
      <w:pPr>
        <w:pStyle w:val="ListNumber"/>
        <w:spacing w:after="60"/>
      </w:pPr>
      <w:r>
        <w:rPr>
          <w:sz w:val="21"/>
        </w:rPr>
        <w:t>Corrección de volumen: valores de volumen_ml superiores a 5.000 ml reasignados a nulo (errores de extracción regex del nombre).</w:t>
      </w:r>
    </w:p>
    <w:p>
      <w:pPr>
        <w:pStyle w:val="ListNumber"/>
        <w:spacing w:after="60"/>
      </w:pPr>
      <w:r>
        <w:rPr>
          <w:sz w:val="21"/>
        </w:rPr>
        <w:t>Deduplicación: eliminación de registros duplicados por combinación nombre + fuente.</w:t>
      </w:r>
    </w:p>
    <w:p>
      <w:pPr>
        <w:pStyle w:val="ListNumber"/>
        <w:spacing w:after="60"/>
      </w:pPr>
      <w:r>
        <w:rPr>
          <w:sz w:val="21"/>
        </w:rPr>
        <w:t>Normalización de marcas: unificación de case (PANTENE → Pantene) y variantes tipográficas.</w:t>
      </w:r>
    </w:p>
    <w:p>
      <w:pPr>
        <w:spacing w:before="120" w:after="120"/>
        <w:jc w:val="both"/>
      </w:pPr>
      <w:r>
        <w:rPr>
          <w:i w:val="0"/>
          <w:sz w:val="21"/>
        </w:rPr>
        <w:t>Las variables linea_tipo (profesional / estándar) y tipo_cabello (general / rizado / tratado / anticaspa / seco_dañado / bebé / graso) se derivaron mediante clasificación por palabras clave en el nombre del producto.</w:t>
      </w:r>
    </w:p>
    <w:p>
      <w:pPr>
        <w:pStyle w:val="Heading2"/>
        <w:spacing w:before="120" w:after="80"/>
      </w:pPr>
      <w:r>
        <w:rPr>
          <w:b/>
          <w:color w:val="1A5276"/>
        </w:rPr>
        <w:t>2.3  Campos de la base — DER y Diccionario de Datos</w:t>
      </w:r>
    </w:p>
    <w:p>
      <w:pPr>
        <w:spacing w:before="0" w:after="120"/>
        <w:jc w:val="both"/>
      </w:pPr>
      <w:r>
        <w:rPr>
          <w:i w:val="0"/>
          <w:sz w:val="21"/>
        </w:rPr>
        <w:t>El dataset corresponde a una entidad única (producto disponible en retailer), con clave primaria compuesta por sku_id + fuente: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19"/>
              </w:rPr>
              <w:t>Campo</w:t>
            </w:r>
          </w:p>
        </w:tc>
        <w:tc>
          <w:tcPr>
            <w:tcW w:type="dxa" w:w="2266"/>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19"/>
              </w:rPr>
              <w:t>Tipo</w:t>
            </w:r>
          </w:p>
        </w:tc>
        <w:tc>
          <w:tcPr>
            <w:tcW w:type="dxa" w:w="2266"/>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19"/>
              </w:rPr>
              <w:t>Clave</w:t>
            </w:r>
          </w:p>
        </w:tc>
        <w:tc>
          <w:tcPr>
            <w:tcW w:type="dxa" w:w="2266"/>
            <w:shd w:val="clear" w:color="auto" w:fill="1A5276"/>
            <w:tcBorders>
              <w:top w:val="single" w:sz="4" w:space="0" w:color="C5D8EF"/>
              <w:left w:val="single" w:sz="4" w:space="0" w:color="C5D8EF"/>
              <w:bottom w:val="single" w:sz="4" w:space="0" w:color="C5D8EF"/>
              <w:right w:val="single" w:sz="4" w:space="0" w:color="C5D8EF"/>
            </w:tcBorders>
          </w:tcPr>
          <w:p>
            <w:r>
              <w:rPr>
                <w:b/>
                <w:color w:val="FFFFFF"/>
                <w:sz w:val="19"/>
              </w:rPr>
              <w:t>Descripción</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sku_id</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Entero</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b/>
                <w:color w:val="1A5276"/>
                <w:sz w:val="18"/>
              </w:rPr>
              <w:t>PK</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ID único del SKU en el sistema VTEX del retailer</w:t>
            </w:r>
          </w:p>
        </w:tc>
      </w:tr>
      <w:tr>
        <w:tc>
          <w:tcPr>
            <w:tcW w:type="dxa" w:w="1814"/>
            <w:shd w:val="clear" w:color="auto" w:fill="FFFF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producto_id</w:t>
            </w:r>
          </w:p>
        </w:tc>
        <w:tc>
          <w:tcPr>
            <w:tcW w:type="dxa" w:w="1020"/>
            <w:shd w:val="clear" w:color="auto" w:fill="FFFFFF"/>
            <w:tcBorders>
              <w:top w:val="single" w:sz="4" w:space="0" w:color="C5D8EF"/>
              <w:left w:val="single" w:sz="4" w:space="0" w:color="C5D8EF"/>
              <w:bottom w:val="single" w:sz="4" w:space="0" w:color="C5D8EF"/>
              <w:right w:val="single" w:sz="4" w:space="0" w:color="C5D8EF"/>
            </w:tcBorders>
          </w:tcPr>
          <w:p>
            <w:r>
              <w:rPr>
                <w:sz w:val="18"/>
              </w:rPr>
              <w:t>Entero</w:t>
            </w:r>
          </w:p>
        </w:tc>
        <w:tc>
          <w:tcPr>
            <w:tcW w:type="dxa" w:w="680"/>
            <w:shd w:val="clear" w:color="auto" w:fill="FFFFFF"/>
            <w:tcBorders>
              <w:top w:val="single" w:sz="4" w:space="0" w:color="C5D8EF"/>
              <w:left w:val="single" w:sz="4" w:space="0" w:color="C5D8EF"/>
              <w:bottom w:val="single" w:sz="4" w:space="0" w:color="C5D8EF"/>
              <w:right w:val="single" w:sz="4" w:space="0" w:color="C5D8EF"/>
            </w:tcBorders>
          </w:tcPr>
          <w:p>
            <w:r>
              <w:rPr>
                <w:b/>
                <w:color w:val="1A5276"/>
                <w:sz w:val="18"/>
              </w:rPr>
              <w:t>FK</w:t>
            </w:r>
          </w:p>
        </w:tc>
        <w:tc>
          <w:tcPr>
            <w:tcW w:type="dxa" w:w="5386"/>
            <w:shd w:val="clear" w:color="auto" w:fill="FFFFFF"/>
            <w:tcBorders>
              <w:top w:val="single" w:sz="4" w:space="0" w:color="C5D8EF"/>
              <w:left w:val="single" w:sz="4" w:space="0" w:color="C5D8EF"/>
              <w:bottom w:val="single" w:sz="4" w:space="0" w:color="C5D8EF"/>
              <w:right w:val="single" w:sz="4" w:space="0" w:color="C5D8EF"/>
            </w:tcBorders>
          </w:tcPr>
          <w:p>
            <w:r>
              <w:rPr>
                <w:sz w:val="18"/>
              </w:rPr>
              <w:t>ID del producto padre (agrupa variantes)</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fuente</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Retailer de origen: Jumbo, Farmacity o Disco</w:t>
            </w:r>
          </w:p>
        </w:tc>
      </w:tr>
      <w:tr>
        <w:tc>
          <w:tcPr>
            <w:tcW w:type="dxa" w:w="1814"/>
            <w:shd w:val="clear" w:color="auto" w:fill="FFFF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nombre</w:t>
            </w:r>
          </w:p>
        </w:tc>
        <w:tc>
          <w:tcPr>
            <w:tcW w:type="dxa" w:w="1020"/>
            <w:shd w:val="clear" w:color="auto" w:fill="FFFF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FFF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FFFFF"/>
            <w:tcBorders>
              <w:top w:val="single" w:sz="4" w:space="0" w:color="C5D8EF"/>
              <w:left w:val="single" w:sz="4" w:space="0" w:color="C5D8EF"/>
              <w:bottom w:val="single" w:sz="4" w:space="0" w:color="C5D8EF"/>
              <w:right w:val="single" w:sz="4" w:space="0" w:color="C5D8EF"/>
            </w:tcBorders>
          </w:tcPr>
          <w:p>
            <w:r>
              <w:rPr>
                <w:sz w:val="18"/>
              </w:rPr>
              <w:t>Nombre completo del producto (tal como aparece en el sitio)</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marca</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Marca normalizada del producto</w:t>
            </w:r>
          </w:p>
        </w:tc>
      </w:tr>
      <w:tr>
        <w:tc>
          <w:tcPr>
            <w:tcW w:type="dxa" w:w="1814"/>
            <w:shd w:val="clear" w:color="auto" w:fill="FFFF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precio_ars</w:t>
            </w:r>
          </w:p>
        </w:tc>
        <w:tc>
          <w:tcPr>
            <w:tcW w:type="dxa" w:w="1020"/>
            <w:shd w:val="clear" w:color="auto" w:fill="FFFFFF"/>
            <w:tcBorders>
              <w:top w:val="single" w:sz="4" w:space="0" w:color="C5D8EF"/>
              <w:left w:val="single" w:sz="4" w:space="0" w:color="C5D8EF"/>
              <w:bottom w:val="single" w:sz="4" w:space="0" w:color="C5D8EF"/>
              <w:right w:val="single" w:sz="4" w:space="0" w:color="C5D8EF"/>
            </w:tcBorders>
          </w:tcPr>
          <w:p>
            <w:r>
              <w:rPr>
                <w:sz w:val="18"/>
              </w:rPr>
              <w:t>Decimal</w:t>
            </w:r>
          </w:p>
        </w:tc>
        <w:tc>
          <w:tcPr>
            <w:tcW w:type="dxa" w:w="680"/>
            <w:shd w:val="clear" w:color="auto" w:fill="FFFF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FFFFF"/>
            <w:tcBorders>
              <w:top w:val="single" w:sz="4" w:space="0" w:color="C5D8EF"/>
              <w:left w:val="single" w:sz="4" w:space="0" w:color="C5D8EF"/>
              <w:bottom w:val="single" w:sz="4" w:space="0" w:color="C5D8EF"/>
              <w:right w:val="single" w:sz="4" w:space="0" w:color="C5D8EF"/>
            </w:tcBorders>
          </w:tcPr>
          <w:p>
            <w:r>
              <w:rPr>
                <w:sz w:val="18"/>
              </w:rPr>
              <w:t>Precio de venta en pesos argentinos (ARS)</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precio_lista</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Decimal</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Precio de lista original antes de descuentos</w:t>
            </w:r>
          </w:p>
        </w:tc>
      </w:tr>
      <w:tr>
        <w:tc>
          <w:tcPr>
            <w:tcW w:type="dxa" w:w="1814"/>
            <w:shd w:val="clear" w:color="auto" w:fill="FFFF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disponible</w:t>
            </w:r>
          </w:p>
        </w:tc>
        <w:tc>
          <w:tcPr>
            <w:tcW w:type="dxa" w:w="1020"/>
            <w:shd w:val="clear" w:color="auto" w:fill="FFFFFF"/>
            <w:tcBorders>
              <w:top w:val="single" w:sz="4" w:space="0" w:color="C5D8EF"/>
              <w:left w:val="single" w:sz="4" w:space="0" w:color="C5D8EF"/>
              <w:bottom w:val="single" w:sz="4" w:space="0" w:color="C5D8EF"/>
              <w:right w:val="single" w:sz="4" w:space="0" w:color="C5D8EF"/>
            </w:tcBorders>
          </w:tcPr>
          <w:p>
            <w:r>
              <w:rPr>
                <w:sz w:val="18"/>
              </w:rPr>
              <w:t>Bool</w:t>
            </w:r>
          </w:p>
        </w:tc>
        <w:tc>
          <w:tcPr>
            <w:tcW w:type="dxa" w:w="680"/>
            <w:shd w:val="clear" w:color="auto" w:fill="FFFF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FFFFF"/>
            <w:tcBorders>
              <w:top w:val="single" w:sz="4" w:space="0" w:color="C5D8EF"/>
              <w:left w:val="single" w:sz="4" w:space="0" w:color="C5D8EF"/>
              <w:bottom w:val="single" w:sz="4" w:space="0" w:color="C5D8EF"/>
              <w:right w:val="single" w:sz="4" w:space="0" w:color="C5D8EF"/>
            </w:tcBorders>
          </w:tcPr>
          <w:p>
            <w:r>
              <w:rPr>
                <w:sz w:val="18"/>
              </w:rPr>
              <w:t>TRUE = disponible para compra al momento del scraping</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volumen_ml</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Decimal</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Volumen en ml extraído del nombre con regex. NULL si no se encontró</w:t>
            </w:r>
          </w:p>
        </w:tc>
      </w:tr>
      <w:tr>
        <w:tc>
          <w:tcPr>
            <w:tcW w:type="dxa" w:w="1814"/>
            <w:shd w:val="clear" w:color="auto" w:fill="FFFF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precio_por_ml</w:t>
            </w:r>
          </w:p>
        </w:tc>
        <w:tc>
          <w:tcPr>
            <w:tcW w:type="dxa" w:w="1020"/>
            <w:shd w:val="clear" w:color="auto" w:fill="FFFFFF"/>
            <w:tcBorders>
              <w:top w:val="single" w:sz="4" w:space="0" w:color="C5D8EF"/>
              <w:left w:val="single" w:sz="4" w:space="0" w:color="C5D8EF"/>
              <w:bottom w:val="single" w:sz="4" w:space="0" w:color="C5D8EF"/>
              <w:right w:val="single" w:sz="4" w:space="0" w:color="C5D8EF"/>
            </w:tcBorders>
          </w:tcPr>
          <w:p>
            <w:r>
              <w:rPr>
                <w:sz w:val="18"/>
              </w:rPr>
              <w:t>Decimal</w:t>
            </w:r>
          </w:p>
        </w:tc>
        <w:tc>
          <w:tcPr>
            <w:tcW w:type="dxa" w:w="680"/>
            <w:shd w:val="clear" w:color="auto" w:fill="FFFF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FFFFF"/>
            <w:tcBorders>
              <w:top w:val="single" w:sz="4" w:space="0" w:color="C5D8EF"/>
              <w:left w:val="single" w:sz="4" w:space="0" w:color="C5D8EF"/>
              <w:bottom w:val="single" w:sz="4" w:space="0" w:color="C5D8EF"/>
              <w:right w:val="single" w:sz="4" w:space="0" w:color="C5D8EF"/>
            </w:tcBorders>
          </w:tcPr>
          <w:p>
            <w:r>
              <w:rPr>
                <w:sz w:val="18"/>
              </w:rPr>
              <w:t>precio_ars / volumen_ml. NULL si no hay volumen</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categoria_raw</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Categoría según el árbol del retailer</w:t>
            </w:r>
          </w:p>
        </w:tc>
      </w:tr>
      <w:tr>
        <w:tc>
          <w:tcPr>
            <w:tcW w:type="dxa" w:w="1814"/>
            <w:shd w:val="clear" w:color="auto" w:fill="FFFF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tipo_producto</w:t>
            </w:r>
          </w:p>
        </w:tc>
        <w:tc>
          <w:tcPr>
            <w:tcW w:type="dxa" w:w="1020"/>
            <w:shd w:val="clear" w:color="auto" w:fill="FFFF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FFF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FFFFF"/>
            <w:tcBorders>
              <w:top w:val="single" w:sz="4" w:space="0" w:color="C5D8EF"/>
              <w:left w:val="single" w:sz="4" w:space="0" w:color="C5D8EF"/>
              <w:bottom w:val="single" w:sz="4" w:space="0" w:color="C5D8EF"/>
              <w:right w:val="single" w:sz="4" w:space="0" w:color="C5D8EF"/>
            </w:tcBorders>
          </w:tcPr>
          <w:p>
            <w:r>
              <w:rPr>
                <w:sz w:val="18"/>
              </w:rPr>
              <w:t>shampoo / acondicionador / tratamiento (clasificado por Python)</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linea_tipo</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profesional / estándar (clasificado por Python)</w:t>
            </w:r>
          </w:p>
        </w:tc>
      </w:tr>
      <w:tr>
        <w:tc>
          <w:tcPr>
            <w:tcW w:type="dxa" w:w="1814"/>
            <w:shd w:val="clear" w:color="auto" w:fill="FFFF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tipo_cabello</w:t>
            </w:r>
          </w:p>
        </w:tc>
        <w:tc>
          <w:tcPr>
            <w:tcW w:type="dxa" w:w="1020"/>
            <w:shd w:val="clear" w:color="auto" w:fill="FFFF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FFF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FFFFF"/>
            <w:tcBorders>
              <w:top w:val="single" w:sz="4" w:space="0" w:color="C5D8EF"/>
              <w:left w:val="single" w:sz="4" w:space="0" w:color="C5D8EF"/>
              <w:bottom w:val="single" w:sz="4" w:space="0" w:color="C5D8EF"/>
              <w:right w:val="single" w:sz="4" w:space="0" w:color="C5D8EF"/>
            </w:tcBorders>
          </w:tcPr>
          <w:p>
            <w:r>
              <w:rPr>
                <w:sz w:val="18"/>
              </w:rPr>
              <w:t>general / rizado / tratado / anticaspa / seco_dañado / bebé / graso</w:t>
            </w:r>
          </w:p>
        </w:tc>
      </w:tr>
      <w:tr>
        <w:tc>
          <w:tcPr>
            <w:tcW w:type="dxa" w:w="1814"/>
            <w:shd w:val="clear" w:color="auto" w:fill="F4F8FF"/>
            <w:tcBorders>
              <w:top w:val="single" w:sz="4" w:space="0" w:color="C5D8EF"/>
              <w:left w:val="single" w:sz="4" w:space="0" w:color="C5D8EF"/>
              <w:bottom w:val="single" w:sz="4" w:space="0" w:color="C5D8EF"/>
              <w:right w:val="single" w:sz="4" w:space="0" w:color="C5D8EF"/>
            </w:tcBorders>
          </w:tcPr>
          <w:p>
            <w:r>
              <w:rPr>
                <w:rFonts w:ascii="Courier New" w:hAnsi="Courier New"/>
                <w:b/>
                <w:sz w:val="18"/>
              </w:rPr>
              <w:t>url</w:t>
            </w:r>
          </w:p>
        </w:tc>
        <w:tc>
          <w:tcPr>
            <w:tcW w:type="dxa" w:w="1020"/>
            <w:shd w:val="clear" w:color="auto" w:fill="F4F8FF"/>
            <w:tcBorders>
              <w:top w:val="single" w:sz="4" w:space="0" w:color="C5D8EF"/>
              <w:left w:val="single" w:sz="4" w:space="0" w:color="C5D8EF"/>
              <w:bottom w:val="single" w:sz="4" w:space="0" w:color="C5D8EF"/>
              <w:right w:val="single" w:sz="4" w:space="0" w:color="C5D8EF"/>
            </w:tcBorders>
          </w:tcPr>
          <w:p>
            <w:r>
              <w:rPr>
                <w:sz w:val="18"/>
              </w:rPr>
              <w:t>Texto</w:t>
            </w:r>
          </w:p>
        </w:tc>
        <w:tc>
          <w:tcPr>
            <w:tcW w:type="dxa" w:w="680"/>
            <w:shd w:val="clear" w:color="auto" w:fill="F4F8FF"/>
            <w:tcBorders>
              <w:top w:val="single" w:sz="4" w:space="0" w:color="C5D8EF"/>
              <w:left w:val="single" w:sz="4" w:space="0" w:color="C5D8EF"/>
              <w:bottom w:val="single" w:sz="4" w:space="0" w:color="C5D8EF"/>
              <w:right w:val="single" w:sz="4" w:space="0" w:color="C5D8EF"/>
            </w:tcBorders>
          </w:tcPr>
          <w:p>
            <w:r>
              <w:rPr>
                <w:sz w:val="18"/>
              </w:rPr>
              <w:t>—</w:t>
            </w:r>
          </w:p>
        </w:tc>
        <w:tc>
          <w:tcPr>
            <w:tcW w:type="dxa" w:w="5386"/>
            <w:shd w:val="clear" w:color="auto" w:fill="F4F8FF"/>
            <w:tcBorders>
              <w:top w:val="single" w:sz="4" w:space="0" w:color="C5D8EF"/>
              <w:left w:val="single" w:sz="4" w:space="0" w:color="C5D8EF"/>
              <w:bottom w:val="single" w:sz="4" w:space="0" w:color="C5D8EF"/>
              <w:right w:val="single" w:sz="4" w:space="0" w:color="C5D8EF"/>
            </w:tcBorders>
          </w:tcPr>
          <w:p>
            <w:r>
              <w:rPr>
                <w:sz w:val="18"/>
              </w:rPr>
              <w:t>URL del producto en el sitio del retailer</w:t>
            </w:r>
          </w:p>
        </w:tc>
      </w:tr>
    </w:tbl>
    <w:p/>
    <w:p>
      <w:pPr>
        <w:pStyle w:val="Heading1"/>
        <w:spacing w:before="240" w:after="80"/>
      </w:pPr>
      <w:r>
        <w:rPr>
          <w:b/>
          <w:color w:val="1A1A2E"/>
        </w:rPr>
        <w:t>3. Conclusiones y Recomendaciones de Marketing</w:t>
      </w:r>
    </w:p>
    <w:p>
      <w:pPr>
        <w:pStyle w:val="Heading2"/>
        <w:spacing w:before="80" w:after="80"/>
      </w:pPr>
      <w:r>
        <w:rPr>
          <w:b/>
          <w:color w:val="1A5276"/>
        </w:rPr>
        <w:t>H1 — Línea profesional vs. estándar</w:t>
      </w:r>
    </w:p>
    <w:tbl>
      <w:tblPr>
        <w:tblW w:type="auto" w:w="0"/>
        <w:jc w:val="left"/>
        <w:tblLook w:firstColumn="1" w:firstRow="1" w:lastColumn="0" w:lastRow="0" w:noHBand="0" w:noVBand="1" w:val="04A0"/>
      </w:tblPr>
      <w:tblGrid>
        <w:gridCol w:w="9066"/>
      </w:tblGrid>
      <w:tr>
        <w:tc>
          <w:tcPr>
            <w:tcW w:type="dxa" w:w="9066"/>
            <w:shd w:val="clear" w:color="auto" w:fill="FFF3CD"/>
          </w:tcPr>
          <w:p>
            <w:pPr>
              <w:spacing w:before="80" w:after="40"/>
            </w:pPr>
            <w:r>
              <w:rPr>
                <w:b/>
                <w:color w:val="C87F0A"/>
                <w:sz w:val="18"/>
              </w:rPr>
              <w:t>H1 No confirmada</w:t>
            </w:r>
          </w:p>
          <w:p>
            <w:pPr>
              <w:spacing w:before="0" w:after="80"/>
            </w:pPr>
            <w:r>
              <w:rPr>
                <w:sz w:val="21"/>
              </w:rPr>
              <w:t>La mediana del precio por ml es prácticamente igual entre ambas líneas: $28,69/ml (profesional) vs. $28,31/ml (estándar). La media estándar es mayor ($84,88 vs. $43,40) por la presencia de outliers en esa categoría. En el mercado digital argentino, la etiqueta 'profesional' no implica necesariamente un precio por ml superior.</w:t>
            </w:r>
          </w:p>
        </w:tc>
      </w:tr>
    </w:tbl>
    <w:p/>
    <w:p>
      <w:pPr>
        <w:pStyle w:val="Heading2"/>
        <w:spacing w:before="80" w:after="80"/>
      </w:pPr>
      <w:r>
        <w:rPr>
          <w:b/>
          <w:color w:val="1A5276"/>
        </w:rPr>
        <w:t>H2 — Precio por ml según tipo de cabello</w:t>
      </w:r>
    </w:p>
    <w:tbl>
      <w:tblPr>
        <w:tblW w:type="auto" w:w="0"/>
        <w:jc w:val="left"/>
        <w:tblLook w:firstColumn="1" w:firstRow="1" w:lastColumn="0" w:lastRow="0" w:noHBand="0" w:noVBand="1" w:val="04A0"/>
      </w:tblPr>
      <w:tblGrid>
        <w:gridCol w:w="9066"/>
      </w:tblGrid>
      <w:tr>
        <w:tc>
          <w:tcPr>
            <w:tcW w:type="dxa" w:w="9066"/>
            <w:shd w:val="clear" w:color="auto" w:fill="D1ECF1"/>
          </w:tcPr>
          <w:p>
            <w:pPr>
              <w:spacing w:before="80" w:after="40"/>
            </w:pPr>
            <w:r>
              <w:rPr>
                <w:b/>
                <w:color w:val="117A65"/>
                <w:sz w:val="18"/>
              </w:rPr>
              <w:t>H2 Confirmada parcialmente</w:t>
            </w:r>
          </w:p>
          <w:p>
            <w:pPr>
              <w:spacing w:before="0" w:after="80"/>
            </w:pPr>
            <w:r>
              <w:rPr>
                <w:sz w:val="21"/>
              </w:rPr>
              <w:t>Los productos anticaspa presentan el mayor precio por ml promedio ($116,33/ml), seguidos por uso general ($78,08/ml). Contrariamente a la hipótesis, los productos para cabello rizado ($27,33/ml) y graso ($22,77/ml) son los más económicos. La especialización no se traduce uniformemente en mayor precio: los anticaspa (menor volumen, formulación activa) presentan el mayor precio relativo.</w:t>
            </w:r>
          </w:p>
        </w:tc>
      </w:tr>
    </w:tbl>
    <w:p/>
    <w:p>
      <w:pPr>
        <w:pStyle w:val="Heading2"/>
        <w:spacing w:before="80" w:after="80"/>
      </w:pPr>
      <w:r>
        <w:rPr>
          <w:b/>
          <w:color w:val="1A5276"/>
        </w:rPr>
        <w:t>H3 — Dispersión de precios por fuente</w:t>
      </w:r>
    </w:p>
    <w:tbl>
      <w:tblPr>
        <w:tblW w:type="auto" w:w="0"/>
        <w:jc w:val="left"/>
        <w:tblLook w:firstColumn="1" w:firstRow="1" w:lastColumn="0" w:lastRow="0" w:noHBand="0" w:noVBand="1" w:val="04A0"/>
      </w:tblPr>
      <w:tblGrid>
        <w:gridCol w:w="9066"/>
      </w:tblGrid>
      <w:tr>
        <w:tc>
          <w:tcPr>
            <w:tcW w:type="dxa" w:w="9066"/>
            <w:shd w:val="clear" w:color="auto" w:fill="D4EDDA"/>
          </w:tcPr>
          <w:p>
            <w:pPr>
              <w:spacing w:before="80" w:after="40"/>
            </w:pPr>
            <w:r>
              <w:rPr>
                <w:b/>
                <w:color w:val="1E8449"/>
                <w:sz w:val="18"/>
              </w:rPr>
              <w:t>H3 Confirmada</w:t>
            </w:r>
          </w:p>
          <w:p>
            <w:pPr>
              <w:spacing w:before="0" w:after="80"/>
            </w:pPr>
            <w:r>
              <w:rPr>
                <w:sz w:val="21"/>
              </w:rPr>
              <w:t>Farmacity tiene un coeficiente de variación del 115,7% (precio_ars), casi el triple que Jumbo (43,0%) y Disco (41,3%). Su catálogo mezcla productos masivos (desde $900 ARS) con kits premium (hasta $195.532 ARS). Los supermercados presentan una oferta más homogénea. Para consumidores con presupuesto definido, Jumbo o Disco ofrecen mayor previsibilidad.</w:t>
            </w:r>
          </w:p>
        </w:tc>
      </w:tr>
    </w:tbl>
    <w:p/>
    <w:p>
      <w:pPr>
        <w:pStyle w:val="Heading2"/>
        <w:spacing w:before="80" w:after="80"/>
      </w:pPr>
      <w:r>
        <w:rPr>
          <w:b/>
          <w:color w:val="1A5276"/>
        </w:rPr>
        <w:t>Regresión lineal — volumen_ml → precio_ars</w:t>
      </w:r>
    </w:p>
    <w:tbl>
      <w:tblPr>
        <w:tblW w:type="auto" w:w="0"/>
        <w:jc w:val="left"/>
        <w:tblLook w:firstColumn="1" w:firstRow="1" w:lastColumn="0" w:lastRow="0" w:noHBand="0" w:noVBand="1" w:val="04A0"/>
      </w:tblPr>
      <w:tblGrid>
        <w:gridCol w:w="9066"/>
      </w:tblGrid>
      <w:tr>
        <w:tc>
          <w:tcPr>
            <w:tcW w:type="dxa" w:w="9066"/>
            <w:shd w:val="clear" w:color="auto" w:fill="D1ECF1"/>
          </w:tcPr>
          <w:p>
            <w:pPr>
              <w:spacing w:before="80" w:after="40"/>
            </w:pPr>
            <w:r>
              <w:rPr>
                <w:b/>
                <w:color w:val="117A65"/>
                <w:sz w:val="18"/>
              </w:rPr>
              <w:t>Correlación débil — modelo explicativo limitado</w:t>
            </w:r>
          </w:p>
          <w:p>
            <w:pPr>
              <w:spacing w:before="0" w:after="80"/>
            </w:pPr>
            <w:r>
              <w:rPr>
                <w:sz w:val="21"/>
              </w:rPr>
              <w:t>La correlación entre volumen y precio es r = 0,117 (débil positiva), con un R² = 0,014. El volumen del envase explica apenas el 1,4% de la variación del precio. La ecuación resultante es: precio = $9.731 + $4,72 × volumen_ml. El precio se determina principalmente por la marca, la línea y el retailer, no por el volumen del envase.</w:t>
            </w:r>
          </w:p>
        </w:tc>
      </w:tr>
    </w:tbl>
    <w:p/>
    <w:p>
      <w:pPr>
        <w:pStyle w:val="Heading2"/>
        <w:spacing w:before="80" w:after="80"/>
      </w:pPr>
      <w:r>
        <w:rPr>
          <w:b/>
          <w:color w:val="1A5276"/>
        </w:rPr>
        <w:t>Recomendaciones de marketing</w:t>
      </w:r>
    </w:p>
    <w:p>
      <w:pPr>
        <w:spacing w:before="40" w:after="80"/>
        <w:ind w:left="283"/>
      </w:pPr>
      <w:r>
        <w:rPr>
          <w:sz w:val="22"/>
        </w:rPr>
        <w:t xml:space="preserve">🛒  </w:t>
      </w:r>
      <w:r>
        <w:rPr>
          <w:b/>
          <w:sz w:val="21"/>
        </w:rPr>
        <w:t xml:space="preserve">Para consumidores: </w:t>
      </w:r>
      <w:r>
        <w:rPr>
          <w:sz w:val="21"/>
        </w:rPr>
        <w:t>Comparar precio por ml antes de comprar. Jumbo y Disco ofrecen los mismos productos a precios promedio un 37–60% menores que Farmacity. La línea estándar tiene precio/ml equivalente a la profesional.</w:t>
      </w:r>
    </w:p>
    <w:p>
      <w:pPr>
        <w:spacing w:before="40" w:after="80"/>
        <w:ind w:left="283"/>
      </w:pPr>
      <w:r>
        <w:rPr>
          <w:sz w:val="22"/>
        </w:rPr>
        <w:t xml:space="preserve">🏪  </w:t>
      </w:r>
      <w:r>
        <w:rPr>
          <w:b/>
          <w:sz w:val="21"/>
        </w:rPr>
        <w:t xml:space="preserve">Para retailers (Jumbo / Disco): </w:t>
      </w:r>
      <w:r>
        <w:rPr>
          <w:sz w:val="21"/>
        </w:rPr>
        <w:t>Ampliar el surtido de productos anticaspa y de tratamiento capilar — categorías con mayor precio/ml donde Farmacity domina actualmente. Esto permitiría capturar consumidores dispuestos a pagar más por soluciones específicas.</w:t>
      </w:r>
    </w:p>
    <w:p>
      <w:pPr>
        <w:spacing w:before="40" w:after="80"/>
        <w:ind w:left="283"/>
      </w:pPr>
      <w:r>
        <w:rPr>
          <w:sz w:val="22"/>
        </w:rPr>
        <w:t xml:space="preserve">📊  </w:t>
      </w:r>
      <w:r>
        <w:rPr>
          <w:b/>
          <w:sz w:val="21"/>
        </w:rPr>
        <w:t xml:space="preserve">Para marcas: </w:t>
      </w:r>
      <w:r>
        <w:rPr>
          <w:sz w:val="21"/>
        </w:rPr>
        <w:t>El diferencial de precio entre línea profesional y estándar no está siendo percibido en el canal digital. Revisar la estrategia de pricing online para que el premium de la línea profesional sea visible al consumidor.</w:t>
      </w:r>
    </w:p>
    <w:p>
      <w:pPr>
        <w:spacing w:before="40" w:after="80"/>
        <w:ind w:left="283"/>
      </w:pPr>
      <w:r>
        <w:rPr>
          <w:sz w:val="22"/>
        </w:rPr>
        <w:t xml:space="preserve">🔍  </w:t>
      </w:r>
      <w:r>
        <w:rPr>
          <w:b/>
          <w:sz w:val="21"/>
        </w:rPr>
        <w:t xml:space="preserve">Limitaciones del análisis: </w:t>
      </w:r>
      <w:r>
        <w:rPr>
          <w:sz w:val="21"/>
        </w:rPr>
        <w:t>La clasificación de linea_tipo y tipo_cabello fue inferida por palabras clave en el nombre del producto, sin datos estructurados del retailer, lo que puede introducir errores. La regresión lineal simple sobre volumen tiene bajo poder explicativo; futuros análisis deberían incorporar marca, retailer y tipo_cabello como variables predictoras.</w:t>
      </w:r>
    </w:p>
    <w:p>
      <w:r>
        <w:br w:type="page"/>
      </w:r>
    </w:p>
    <w:p>
      <w:pPr>
        <w:pStyle w:val="Heading1"/>
        <w:spacing w:before="240" w:after="80"/>
      </w:pPr>
      <w:r>
        <w:rPr>
          <w:b/>
          <w:color w:val="555555"/>
        </w:rPr>
        <w:t>Anexo — Material complementario</w:t>
      </w:r>
    </w:p>
    <w:p>
      <w:pPr>
        <w:spacing w:before="0" w:after="120"/>
        <w:jc w:val="both"/>
      </w:pPr>
      <w:r>
        <w:rPr>
          <w:i/>
          <w:color w:val="444444"/>
          <w:sz w:val="20"/>
        </w:rPr>
        <w:t>El siguiente material se encuentra en la planilla planilla_shampoo.xlsx, disponible en el repositorio GitHub del proyecto. Este anexo no cuenta dentro de las 2-3 carillas del cuerpo.</w:t>
      </w:r>
    </w:p>
    <w:tbl>
      <w:tblPr>
        <w:tblW w:type="auto" w:w="0"/>
        <w:jc w:val="left"/>
        <w:tblLook w:firstColumn="1" w:firstRow="1" w:lastColumn="0" w:lastRow="0" w:noHBand="0" w:noVBand="1" w:val="04A0"/>
      </w:tblPr>
      <w:tblGrid>
        <w:gridCol w:w="9066"/>
      </w:tblGrid>
      <w:tr>
        <w:tc>
          <w:tcPr>
            <w:tcW w:type="dxa" w:w="9066"/>
            <w:shd w:val="clear" w:color="auto" w:fill="F4F4F4"/>
            <w:tcBorders>
              <w:top w:val="single" w:sz="4" w:space="0" w:color="C5D8EF"/>
              <w:left w:val="single" w:sz="4" w:space="0" w:color="C5D8EF"/>
              <w:bottom w:val="single" w:sz="4" w:space="0" w:color="C5D8EF"/>
              <w:right w:val="single" w:sz="4" w:space="0" w:color="C5D8EF"/>
            </w:tcBorders>
          </w:tcPr>
          <w:p>
            <w:pPr>
              <w:spacing w:before="60" w:after="20"/>
            </w:pPr>
            <w:r>
              <w:rPr>
                <w:b/>
                <w:color w:val="1A5276"/>
                <w:sz w:val="20"/>
              </w:rPr>
              <w:t>Tablas dinámicas (5) — hoja estadistica_descriptiva</w:t>
            </w:r>
          </w:p>
          <w:p>
            <w:pPr>
              <w:spacing w:before="0" w:after="80"/>
            </w:pPr>
            <w:r>
              <w:rPr>
                <w:color w:val="444444"/>
                <w:sz w:val="19"/>
              </w:rPr>
              <w:t>T1: Métricas globales de precio_ars (19 indicadores)  ·  T2: Métricas globales de precio_por_ml  ·  T3: precio_por_ml por linea_tipo — H1  ·  T4: precio_por_ml por tipo_cabello — H2  ·  T5: precio_ars por fuente (Jumbo / Farmacity / Disco) — H3</w:t>
            </w:r>
          </w:p>
        </w:tc>
      </w:tr>
    </w:tbl>
    <w:p/>
    <w:tbl>
      <w:tblPr>
        <w:tblW w:type="auto" w:w="0"/>
        <w:jc w:val="left"/>
        <w:tblLook w:firstColumn="1" w:firstRow="1" w:lastColumn="0" w:lastRow="0" w:noHBand="0" w:noVBand="1" w:val="04A0"/>
      </w:tblPr>
      <w:tblGrid>
        <w:gridCol w:w="9066"/>
      </w:tblGrid>
      <w:tr>
        <w:tc>
          <w:tcPr>
            <w:tcW w:type="dxa" w:w="9066"/>
            <w:shd w:val="clear" w:color="auto" w:fill="F4F4F4"/>
            <w:tcBorders>
              <w:top w:val="single" w:sz="4" w:space="0" w:color="C5D8EF"/>
              <w:left w:val="single" w:sz="4" w:space="0" w:color="C5D8EF"/>
              <w:bottom w:val="single" w:sz="4" w:space="0" w:color="C5D8EF"/>
              <w:right w:val="single" w:sz="4" w:space="0" w:color="C5D8EF"/>
            </w:tcBorders>
          </w:tcPr>
          <w:p>
            <w:pPr>
              <w:spacing w:before="60" w:after="20"/>
            </w:pPr>
            <w:r>
              <w:rPr>
                <w:b/>
                <w:color w:val="1A5276"/>
                <w:sz w:val="20"/>
              </w:rPr>
              <w:t>Gráficos (8) — hoja visualizaciones</w:t>
            </w:r>
          </w:p>
          <w:p>
            <w:pPr>
              <w:spacing w:before="0" w:after="80"/>
            </w:pPr>
            <w:r>
              <w:rPr>
                <w:color w:val="444444"/>
                <w:sz w:val="19"/>
              </w:rPr>
              <w:t>G1: Distribución por fuente (torta)  ·  G2: Precio promedio por fuente (barras, H3)  ·  G3: Precio/ml profesional vs estándar (columnas, H1)  ·  G4: Precio/ml por tipo de cabello (barras, H2)  ·  G5: Histograma de precio_ars  ·  G6: Top 10 marcas por cantidad de productos (barras)  ·  G7: Tipo de producto por fuente (columnas apiladas)  ·  G8: Dispersión precio vs volumen</w:t>
            </w:r>
          </w:p>
        </w:tc>
      </w:tr>
    </w:tbl>
    <w:p/>
    <w:tbl>
      <w:tblPr>
        <w:tblW w:type="auto" w:w="0"/>
        <w:jc w:val="left"/>
        <w:tblLook w:firstColumn="1" w:firstRow="1" w:lastColumn="0" w:lastRow="0" w:noHBand="0" w:noVBand="1" w:val="04A0"/>
      </w:tblPr>
      <w:tblGrid>
        <w:gridCol w:w="9066"/>
      </w:tblGrid>
      <w:tr>
        <w:tc>
          <w:tcPr>
            <w:tcW w:type="dxa" w:w="9066"/>
            <w:shd w:val="clear" w:color="auto" w:fill="F4F4F4"/>
            <w:tcBorders>
              <w:top w:val="single" w:sz="4" w:space="0" w:color="C5D8EF"/>
              <w:left w:val="single" w:sz="4" w:space="0" w:color="C5D8EF"/>
              <w:bottom w:val="single" w:sz="4" w:space="0" w:color="C5D8EF"/>
              <w:right w:val="single" w:sz="4" w:space="0" w:color="C5D8EF"/>
            </w:tcBorders>
          </w:tcPr>
          <w:p>
            <w:pPr>
              <w:spacing w:before="60" w:after="20"/>
            </w:pPr>
            <w:r>
              <w:rPr>
                <w:b/>
                <w:color w:val="1A5276"/>
                <w:sz w:val="20"/>
              </w:rPr>
              <w:t>Regresión lineal (1) — hoja regresion_lineal</w:t>
            </w:r>
          </w:p>
          <w:p>
            <w:pPr>
              <w:spacing w:before="0" w:after="80"/>
            </w:pPr>
            <w:r>
              <w:rPr>
                <w:color w:val="444444"/>
                <w:sz w:val="19"/>
              </w:rPr>
              <w:t>Variables: volumen_ml (X) → precio_ars (Y)  ·  n = 1.401 observaciones  ·  Fórmulas Sheets: CORREL, SLOPE, INTERCEPT, RSQ, FORECAST  ·  Scatter chart con línea de tendencia + ecuación + R²  ·  Tabla de predicción para 9 volúmenes (100–1500 ml)</w:t>
            </w:r>
          </w:p>
        </w:tc>
      </w:tr>
    </w:tbl>
    <w:p/>
    <w:p/>
    <w:p>
      <w:pPr>
        <w:jc w:val="center"/>
      </w:pPr>
      <w:r>
        <w:rPr>
          <w:color w:val="888888"/>
          <w:sz w:val="17"/>
        </w:rPr>
        <w:t>Proyecto Integrador — Ciencia de Datos · UADE 2026 · Agustín Pérez · Datos: Jumbo, Farmacity, Disco vía API VTEX · Junio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