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pPr>
      <w:r>
        <w:rPr>
          <w:rFonts w:ascii="Arial" w:cs="Arial" w:eastAsia="Arial" w:hAnsi="Arial"/>
          <w:b/>
          <w:bCs/>
          <w:color w:val="1F4E79"/>
          <w:sz w:val="60"/>
          <w:szCs w:val="60"/>
        </w:rPr>
        <w:t xml:space="preserve">Polymarket AI Trading Bot</w:t>
      </w:r>
    </w:p>
    <w:p>
      <w:pPr>
        <w:spacing w:before="0" w:after="80"/>
      </w:pPr>
      <w:r>
        <w:rPr>
          <w:rFonts w:ascii="Arial" w:cs="Arial" w:eastAsia="Arial" w:hAnsi="Arial"/>
          <w:b/>
          <w:bCs/>
          <w:color w:val="2E75B6"/>
          <w:sz w:val="30"/>
          <w:szCs w:val="30"/>
        </w:rPr>
        <w:t xml:space="preserve">Code Review v26 — Deferred Roadmap Audit</w:t>
      </w:r>
    </w:p>
    <w:p>
      <w:pPr>
        <w:spacing w:before="0" w:after="400"/>
      </w:pPr>
      <w:r>
        <w:rPr>
          <w:rFonts w:ascii="Arial" w:cs="Arial" w:eastAsia="Arial" w:hAnsi="Arial"/>
          <w:color w:val="595959"/>
          <w:sz w:val="22"/>
          <w:szCs w:val="22"/>
        </w:rPr>
        <w:t xml:space="preserve">Commit be35c57. 3,667 tests, 0 failures. All 7 deferred items implemented. Two bugs found (ACLED trend calculation inverted; evidence quality weighting missing safety gate). Five items are correct. Two items differ slightly from spec but are still valid implementations.</w:t>
      </w:r>
    </w:p>
    <w:p>
      <w:pPr>
        <w:pBdr>
          <w:bottom w:val="single" w:color="2E75B6" w:sz="4"/>
        </w:pBdr>
        <w:spacing w:before="120" w:after="12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Commit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be35c57 — deferred plan implementation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Test suite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3,667 passed, 0 failed (+77 since v25, including 74 new deferred roadmap tests)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Items confirmed correct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Kronos regex ✅  Binance funding rate ✅  DeFiLlama TVL ✅  GitHub activity ✅  SignalStack + render ✅  Registry ✅</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Bug 1 (High)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ACLED trend calculation inverted — first_half is always &gt;= second_half due to integer division, biasing toward 'de-escalating' on odd event counts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Bug 2 (Medium)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Evidence quality weighting applied unconditionally — spec required auto_weight_sources gate to prevent unvalidated domain weights from distorting results before 30+ resolved trades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Design differences (acceptable)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GDELT uses tonechart mode (time-series tone) instead of artlist (entity extraction) — different from spec but still produces a useful tone signal. Second SourceFetcher fallback path missing db_path.</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1 — Verified Correct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57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Kronos regex: 2026 + end of year added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_FAR_FUTURE_RE now correctly blocks 'by end of 2026' and 'by end of year'. All 5 test cases pass.</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Binance futures funding rate</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Two-call pattern (premiumIndex + fundingRate history). Correct sentiment thresholds. Annualised rate computed correctly (3 periods/day × 365). Rate limiter used.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DeFiLlama TVL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Handles both protocol TVL (/protocol/{slug}) and chain TVL (historicalChainTvl). Falls back gracefully. 7-day change trend correct. Bitcoin/Ethereum entries correctly map to chain-level data.</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GitHub activity</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Org/repo mapping via _PROJECT_REPOS dict. Two-call pattern (repo metadata + commit_activity). Handles 202 Accepted (GitHub stats computing). activity_trend logic correct.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SignalStack fields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new fields present: funding_rate, tvl_change_7d_pct, tvl_usd, conflict_events, conflict_fatalities, conflict_trend, gdelt_tone, gdelt_sentiment, github_commits_4w, github_activity_trend, github_stars, github_repo.</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render_signal_stack</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6 new behavioral signal blocks present and rendering correctly. Prompt will show funding rates, TVL changes, conflict counts, GDELT tone, and GitHub commit velocity when available.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Registry: 4 new entries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crypto_futures_enabled, defillama_enabled, acled_enabled, github_activity_enabled all gated in get_enabled_connectors() with try/except guards.</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GDELT GKG (tonechart)</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(differs from spec)</w:t>
            </w:r>
          </w:p>
        </w:tc>
        <w:tc>
          <w:tcPr>
            <w:tcW w:type="dxa" w:w="5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Spec requested artlist (article entities). Implementation uses tonechart (media tone over time). tonechart gives avg media sentiment score — a different but equally valid signal. See Part 3.</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2 — Bugs Found</w:t>
      </w:r>
    </w:p>
    <w:p>
      <w:pPr>
        <w:pStyle w:val="Heading2"/>
        <w:spacing w:before="280" w:after="100"/>
      </w:pPr>
      <w:r>
        <w:rPr>
          <w:rFonts w:ascii="Arial" w:cs="Arial" w:eastAsia="Arial" w:hAnsi="Arial"/>
          <w:b/>
          <w:bCs/>
          <w:color w:val="2E75B6"/>
          <w:sz w:val="28"/>
          <w:szCs w:val="28"/>
        </w:rPr>
        <w:t xml:space="preserve">Bug 1 (High) — ACLED trend calculation always biased toward 'de-escalating'</w:t>
      </w:r>
    </w:p>
    <w:p>
      <w:pPr>
        <w:pStyle w:val="Heading3"/>
        <w:spacing w:before="200" w:after="80"/>
      </w:pPr>
      <w:r>
        <w:rPr>
          <w:rFonts w:ascii="Arial" w:cs="Arial" w:eastAsia="Arial" w:hAnsi="Arial"/>
          <w:b/>
          <w:bCs/>
          <w:color w:val="333333"/>
          <w:sz w:val="24"/>
          <w:szCs w:val="24"/>
        </w:rPr>
        <w:t xml:space="preserve">Root cause</w:t>
      </w:r>
    </w:p>
    <w:p>
      <w:pPr>
        <w:spacing w:before="60" w:after="80"/>
      </w:pPr>
      <w:r>
        <w:rPr>
          <w:rFonts w:ascii="Arial" w:cs="Arial" w:eastAsia="Arial" w:hAnsi="Arial"/>
          <w:color w:val="333333"/>
          <w:sz w:val="22"/>
          <w:szCs w:val="22"/>
        </w:rPr>
        <w:t xml:space="preserve">In acled.py, the trend calculation splits events by index count, not by date:</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mid = total_events // 2</w:t>
      </w:r>
    </w:p>
    <w:p>
      <w:pPr>
        <w:shd w:fill="F0F0F0" w:val="clear"/>
        <w:spacing w:before="20" w:after="20"/>
        <w:ind w:left="720"/>
      </w:pPr>
      <w:r>
        <w:rPr>
          <w:rFonts w:ascii="Courier New" w:cs="Courier New" w:eastAsia="Courier New" w:hAnsi="Courier New"/>
          <w:color w:val="1A1A1A"/>
          <w:sz w:val="18"/>
          <w:szCs w:val="18"/>
        </w:rPr>
        <w:t xml:space="preserve">first_half = total_events - mid   # always &gt;= second_half</w:t>
      </w:r>
    </w:p>
    <w:p>
      <w:pPr>
        <w:shd w:fill="F0F0F0" w:val="clear"/>
        <w:spacing w:before="20" w:after="20"/>
        <w:ind w:left="720"/>
      </w:pPr>
      <w:r>
        <w:rPr>
          <w:rFonts w:ascii="Courier New" w:cs="Courier New" w:eastAsia="Courier New" w:hAnsi="Courier New"/>
          <w:color w:val="1A1A1A"/>
          <w:sz w:val="18"/>
          <w:szCs w:val="18"/>
        </w:rPr>
        <w:t xml:space="preserve">second_half = mid                 # always &lt;= first_half</w:t>
      </w:r>
    </w:p>
    <w:p>
      <w:pPr>
        <w:shd w:fill="F0F0F0" w:val="clear"/>
        <w:spacing w:before="20" w:after="20"/>
        <w:ind w:left="720"/>
      </w:pPr>
      <w:r>
        <w:rPr>
          <w:rFonts w:ascii="Courier New" w:cs="Courier New" w:eastAsia="Courier New" w:hAnsi="Courier New"/>
          <w:color w:val="1A1A1A"/>
          <w:sz w:val="18"/>
          <w:szCs w:val="18"/>
        </w:rPr>
        <w:t xml:space="preserve">trend_ratio = second_half / first_half  # always &lt;= 1.0 when odd</w:t>
      </w:r>
    </w:p>
    <w:p>
      <w:pPr>
        <w:spacing w:before="60" w:after="60"/>
      </w:pPr>
      <w:r>
        <w:t xml:space="preserve"/>
      </w:r>
    </w:p>
    <w:p>
      <w:pPr>
        <w:shd w:fill="FCE4D6" w:val="clear"/>
        <w:spacing w:before="80" w:after="80"/>
        <w:ind w:left="360" w:right="360"/>
      </w:pPr>
      <w:r>
        <w:rPr>
          <w:rFonts w:ascii="Arial" w:cs="Arial" w:eastAsia="Arial" w:hAnsi="Arial"/>
          <w:color w:val="843C0C"/>
          <w:sz w:val="22"/>
          <w:szCs w:val="22"/>
        </w:rPr>
        <w:t xml:space="preserve">✗  For any odd number of events (which is most of the time), first_half is always one more than second_half. trend_ratio is therefore always slightly below 1.0. Combined with the threshold check (ratio &lt; 0.8 → de-escalating), the calculation slightly underestimates recent activity. More critically, the intended semantics are wrong: 'first_half' should be the older events and 'second_half' should be the newer events — but since ACLED returns events in reverse chronological order by default, the label assignments are also backwards.</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Fix: use date-based split</w:t>
      </w:r>
    </w:p>
    <w:p>
      <w:pPr>
        <w:spacing w:before="60" w:after="80"/>
      </w:pPr>
      <w:r>
        <w:rPr>
          <w:rFonts w:ascii="Arial" w:cs="Arial" w:eastAsia="Arial" w:hAnsi="Arial"/>
          <w:color w:val="333333"/>
          <w:sz w:val="22"/>
          <w:szCs w:val="22"/>
        </w:rPr>
        <w:t xml:space="preserve">Split events by the midpoint of the date range, not by index count. Compare the count of events in the first half of the lookback window to the second half:</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acled.py — in _fetch_impl(), replace the trend block</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 Events may come in any order — sort by date ascending</w:t>
      </w:r>
    </w:p>
    <w:p>
      <w:pPr>
        <w:shd w:fill="F0F0F0" w:val="clear"/>
        <w:spacing w:before="20" w:after="20"/>
        <w:ind w:left="720"/>
      </w:pPr>
      <w:r>
        <w:rPr>
          <w:rFonts w:ascii="Courier New" w:cs="Courier New" w:eastAsia="Courier New" w:hAnsi="Courier New"/>
          <w:color w:val="1A1A1A"/>
          <w:sz w:val="18"/>
          <w:szCs w:val="18"/>
        </w:rPr>
        <w:t xml:space="preserve">sorted_events = sorted(</w:t>
      </w:r>
    </w:p>
    <w:p>
      <w:pPr>
        <w:shd w:fill="F0F0F0" w:val="clear"/>
        <w:spacing w:before="20" w:after="20"/>
        <w:ind w:left="720"/>
      </w:pPr>
      <w:r>
        <w:rPr>
          <w:rFonts w:ascii="Courier New" w:cs="Courier New" w:eastAsia="Courier New" w:hAnsi="Courier New"/>
          <w:color w:val="1A1A1A"/>
          <w:sz w:val="18"/>
          <w:szCs w:val="18"/>
        </w:rPr>
        <w:t xml:space="preserve">    events, key=lambda e: e.get('event_date', ''), reverse=False</w:t>
      </w:r>
    </w:p>
    <w:p>
      <w:pPr>
        <w:shd w:fill="F0F0F0" w:val="clear"/>
        <w:spacing w:before="20" w:after="20"/>
        <w:ind w:left="720"/>
      </w:pPr>
      <w:r>
        <w:rPr>
          <w:rFonts w:ascii="Courier New" w:cs="Courier New" w:eastAsia="Courier New" w:hAnsi="Courier New"/>
          <w:color w:val="1A1A1A"/>
          <w:sz w:val="18"/>
          <w:szCs w:val="18"/>
        </w:rPr>
        <w:t xml:space="preserve">)</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 Split by time: first half of lookback vs second half</w:t>
      </w:r>
    </w:p>
    <w:p>
      <w:pPr>
        <w:shd w:fill="F0F0F0" w:val="clear"/>
        <w:spacing w:before="20" w:after="20"/>
        <w:ind w:left="720"/>
      </w:pPr>
      <w:r>
        <w:rPr>
          <w:rFonts w:ascii="Courier New" w:cs="Courier New" w:eastAsia="Courier New" w:hAnsi="Courier New"/>
          <w:color w:val="1A1A1A"/>
          <w:sz w:val="18"/>
          <w:szCs w:val="18"/>
        </w:rPr>
        <w:t xml:space="preserve">mid_date = (</w:t>
      </w:r>
    </w:p>
    <w:p>
      <w:pPr>
        <w:shd w:fill="F0F0F0" w:val="clear"/>
        <w:spacing w:before="20" w:after="20"/>
        <w:ind w:left="720"/>
      </w:pPr>
      <w:r>
        <w:rPr>
          <w:rFonts w:ascii="Courier New" w:cs="Courier New" w:eastAsia="Courier New" w:hAnsi="Courier New"/>
          <w:color w:val="1A1A1A"/>
          <w:sz w:val="18"/>
          <w:szCs w:val="18"/>
        </w:rPr>
        <w:t xml:space="preserve">    datetime.now(timezone.utc) - timedelta(days=lookback // 2)</w:t>
      </w:r>
    </w:p>
    <w:p>
      <w:pPr>
        <w:shd w:fill="F0F0F0" w:val="clear"/>
        <w:spacing w:before="20" w:after="20"/>
        <w:ind w:left="720"/>
      </w:pPr>
      <w:r>
        <w:rPr>
          <w:rFonts w:ascii="Courier New" w:cs="Courier New" w:eastAsia="Courier New" w:hAnsi="Courier New"/>
          <w:color w:val="1A1A1A"/>
          <w:sz w:val="18"/>
          <w:szCs w:val="18"/>
        </w:rPr>
        <w:t xml:space="preserve">).strftime('%Y-%m-%d')</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first_half_count = sum(</w:t>
      </w:r>
    </w:p>
    <w:p>
      <w:pPr>
        <w:shd w:fill="F0F0F0" w:val="clear"/>
        <w:spacing w:before="20" w:after="20"/>
        <w:ind w:left="720"/>
      </w:pPr>
      <w:r>
        <w:rPr>
          <w:rFonts w:ascii="Courier New" w:cs="Courier New" w:eastAsia="Courier New" w:hAnsi="Courier New"/>
          <w:color w:val="1A1A1A"/>
          <w:sz w:val="18"/>
          <w:szCs w:val="18"/>
        </w:rPr>
        <w:t xml:space="preserve">    1 for e in sorted_events if e.get('event_date', '') &lt; mid_date</w:t>
      </w:r>
    </w:p>
    <w:p>
      <w:pPr>
        <w:shd w:fill="F0F0F0" w:val="clear"/>
        <w:spacing w:before="20" w:after="20"/>
        <w:ind w:left="720"/>
      </w:pPr>
      <w:r>
        <w:rPr>
          <w:rFonts w:ascii="Courier New" w:cs="Courier New" w:eastAsia="Courier New" w:hAnsi="Courier New"/>
          <w:color w:val="1A1A1A"/>
          <w:sz w:val="18"/>
          <w:szCs w:val="18"/>
        </w:rPr>
        <w:t xml:space="preserve">)</w:t>
      </w:r>
    </w:p>
    <w:p>
      <w:pPr>
        <w:shd w:fill="F0F0F0" w:val="clear"/>
        <w:spacing w:before="20" w:after="20"/>
        <w:ind w:left="720"/>
      </w:pPr>
      <w:r>
        <w:rPr>
          <w:rFonts w:ascii="Courier New" w:cs="Courier New" w:eastAsia="Courier New" w:hAnsi="Courier New"/>
          <w:color w:val="1A1A1A"/>
          <w:sz w:val="18"/>
          <w:szCs w:val="18"/>
        </w:rPr>
        <w:t xml:space="preserve">second_half_count = total_events - first_half_count</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if first_half_count &gt; 0:</w:t>
      </w:r>
    </w:p>
    <w:p>
      <w:pPr>
        <w:shd w:fill="F0F0F0" w:val="clear"/>
        <w:spacing w:before="20" w:after="20"/>
        <w:ind w:left="720"/>
      </w:pPr>
      <w:r>
        <w:rPr>
          <w:rFonts w:ascii="Courier New" w:cs="Courier New" w:eastAsia="Courier New" w:hAnsi="Courier New"/>
          <w:color w:val="1A1A1A"/>
          <w:sz w:val="18"/>
          <w:szCs w:val="18"/>
        </w:rPr>
        <w:t xml:space="preserve">    trend_ratio = second_half_count / first_half_count</w:t>
      </w:r>
    </w:p>
    <w:p>
      <w:pPr>
        <w:shd w:fill="F0F0F0" w:val="clear"/>
        <w:spacing w:before="20" w:after="20"/>
        <w:ind w:left="720"/>
      </w:pPr>
      <w:r>
        <w:rPr>
          <w:rFonts w:ascii="Courier New" w:cs="Courier New" w:eastAsia="Courier New" w:hAnsi="Courier New"/>
          <w:color w:val="1A1A1A"/>
          <w:sz w:val="18"/>
          <w:szCs w:val="18"/>
        </w:rPr>
        <w:t xml:space="preserve">    if trend_ratio &gt; 1.2:</w:t>
      </w:r>
    </w:p>
    <w:p>
      <w:pPr>
        <w:shd w:fill="F0F0F0" w:val="clear"/>
        <w:spacing w:before="20" w:after="20"/>
        <w:ind w:left="720"/>
      </w:pPr>
      <w:r>
        <w:rPr>
          <w:rFonts w:ascii="Courier New" w:cs="Courier New" w:eastAsia="Courier New" w:hAnsi="Courier New"/>
          <w:color w:val="1A1A1A"/>
          <w:sz w:val="18"/>
          <w:szCs w:val="18"/>
        </w:rPr>
        <w:t xml:space="preserve">        trend = 'escalating'</w:t>
      </w:r>
    </w:p>
    <w:p>
      <w:pPr>
        <w:shd w:fill="F0F0F0" w:val="clear"/>
        <w:spacing w:before="20" w:after="20"/>
        <w:ind w:left="720"/>
      </w:pPr>
      <w:r>
        <w:rPr>
          <w:rFonts w:ascii="Courier New" w:cs="Courier New" w:eastAsia="Courier New" w:hAnsi="Courier New"/>
          <w:color w:val="1A1A1A"/>
          <w:sz w:val="18"/>
          <w:szCs w:val="18"/>
        </w:rPr>
        <w:t xml:space="preserve">    elif trend_ratio &lt; 0.8:</w:t>
      </w:r>
    </w:p>
    <w:p>
      <w:pPr>
        <w:shd w:fill="F0F0F0" w:val="clear"/>
        <w:spacing w:before="20" w:after="20"/>
        <w:ind w:left="720"/>
      </w:pPr>
      <w:r>
        <w:rPr>
          <w:rFonts w:ascii="Courier New" w:cs="Courier New" w:eastAsia="Courier New" w:hAnsi="Courier New"/>
          <w:color w:val="1A1A1A"/>
          <w:sz w:val="18"/>
          <w:szCs w:val="18"/>
        </w:rPr>
        <w:t xml:space="preserve">        trend = 'de-escalating'</w:t>
      </w:r>
    </w:p>
    <w:p>
      <w:pPr>
        <w:shd w:fill="F0F0F0" w:val="clear"/>
        <w:spacing w:before="20" w:after="20"/>
        <w:ind w:left="720"/>
      </w:pPr>
      <w:r>
        <w:rPr>
          <w:rFonts w:ascii="Courier New" w:cs="Courier New" w:eastAsia="Courier New" w:hAnsi="Courier New"/>
          <w:color w:val="1A1A1A"/>
          <w:sz w:val="18"/>
          <w:szCs w:val="18"/>
        </w:rPr>
        <w:t xml:space="preserve">    else:</w:t>
      </w:r>
    </w:p>
    <w:p>
      <w:pPr>
        <w:shd w:fill="F0F0F0" w:val="clear"/>
        <w:spacing w:before="20" w:after="20"/>
        <w:ind w:left="720"/>
      </w:pPr>
      <w:r>
        <w:rPr>
          <w:rFonts w:ascii="Courier New" w:cs="Courier New" w:eastAsia="Courier New" w:hAnsi="Courier New"/>
          <w:color w:val="1A1A1A"/>
          <w:sz w:val="18"/>
          <w:szCs w:val="18"/>
        </w:rPr>
        <w:t xml:space="preserve">        trend = 'stable'</w:t>
      </w:r>
    </w:p>
    <w:p>
      <w:pPr>
        <w:shd w:fill="F0F0F0" w:val="clear"/>
        <w:spacing w:before="20" w:after="20"/>
        <w:ind w:left="720"/>
      </w:pPr>
      <w:r>
        <w:rPr>
          <w:rFonts w:ascii="Courier New" w:cs="Courier New" w:eastAsia="Courier New" w:hAnsi="Courier New"/>
          <w:color w:val="1A1A1A"/>
          <w:sz w:val="18"/>
          <w:szCs w:val="18"/>
        </w:rPr>
        <w:t xml:space="preserve">else:</w:t>
      </w:r>
    </w:p>
    <w:p>
      <w:pPr>
        <w:shd w:fill="F0F0F0" w:val="clear"/>
        <w:spacing w:before="20" w:after="20"/>
        <w:ind w:left="720"/>
      </w:pPr>
      <w:r>
        <w:rPr>
          <w:rFonts w:ascii="Courier New" w:cs="Courier New" w:eastAsia="Courier New" w:hAnsi="Courier New"/>
          <w:color w:val="1A1A1A"/>
          <w:sz w:val="18"/>
          <w:szCs w:val="18"/>
        </w:rPr>
        <w:t xml:space="preserve">    trend = 'stable'  # no events in first half = stable or no data</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Bug 2 (Medium) — Evidence quality weighting applied without auto_weight_sources gate</w:t>
      </w:r>
    </w:p>
    <w:p>
      <w:pPr>
        <w:pStyle w:val="Heading3"/>
        <w:spacing w:before="200" w:after="80"/>
      </w:pPr>
      <w:r>
        <w:rPr>
          <w:rFonts w:ascii="Arial" w:cs="Arial" w:eastAsia="Arial" w:hAnsi="Arial"/>
          <w:b/>
          <w:bCs/>
          <w:color w:val="333333"/>
          <w:sz w:val="24"/>
          <w:szCs w:val="24"/>
        </w:rPr>
        <w:t xml:space="preserve">Root cause</w:t>
      </w:r>
    </w:p>
    <w:p>
      <w:pPr>
        <w:spacing w:before="60" w:after="80"/>
      </w:pPr>
      <w:r>
        <w:rPr>
          <w:rFonts w:ascii="Arial" w:cs="Arial" w:eastAsia="Arial" w:hAnsi="Arial"/>
          <w:color w:val="333333"/>
          <w:sz w:val="22"/>
          <w:szCs w:val="22"/>
        </w:rPr>
        <w:t xml:space="preserve">The spec required the learned domain weights to be gated behind auto_weight_sources in ContinuousLearningConfig — this ensures the weights are not applied until enough resolved trades have accumulated to make them statistically meaningful. The implementation applies the weights unconditionally whenever the tracker is available:</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source_fetcher.py — current (ungated)</w:t>
      </w:r>
    </w:p>
    <w:p>
      <w:pPr>
        <w:shd w:fill="F0F0F0" w:val="clear"/>
        <w:spacing w:before="20" w:after="20"/>
        <w:ind w:left="720"/>
      </w:pPr>
      <w:r>
        <w:rPr>
          <w:rFonts w:ascii="Courier New" w:cs="Courier New" w:eastAsia="Courier New" w:hAnsi="Courier New"/>
          <w:color w:val="1A1A1A"/>
          <w:sz w:val="18"/>
          <w:szCs w:val="18"/>
        </w:rPr>
        <w:t xml:space="preserve">tracker = self._get_evidence_tracker()</w:t>
      </w:r>
    </w:p>
    <w:p>
      <w:pPr>
        <w:shd w:fill="F0F0F0" w:val="clear"/>
        <w:spacing w:before="20" w:after="20"/>
        <w:ind w:left="720"/>
      </w:pPr>
      <w:r>
        <w:rPr>
          <w:rFonts w:ascii="Courier New" w:cs="Courier New" w:eastAsia="Courier New" w:hAnsi="Courier New"/>
          <w:color w:val="1A1A1A"/>
          <w:sz w:val="18"/>
          <w:szCs w:val="18"/>
        </w:rPr>
        <w:t xml:space="preserve">if tracker is not None:</w:t>
      </w:r>
    </w:p>
    <w:p>
      <w:pPr>
        <w:shd w:fill="F0F0F0" w:val="clear"/>
        <w:spacing w:before="20" w:after="20"/>
        <w:ind w:left="720"/>
      </w:pPr>
      <w:r>
        <w:rPr>
          <w:rFonts w:ascii="Courier New" w:cs="Courier New" w:eastAsia="Courier New" w:hAnsi="Courier New"/>
          <w:color w:val="1A1A1A"/>
          <w:sz w:val="18"/>
          <w:szCs w:val="18"/>
        </w:rPr>
        <w:t xml:space="preserve">    domain = _extract_domain(sr.url)</w:t>
      </w:r>
    </w:p>
    <w:p>
      <w:pPr>
        <w:shd w:fill="F0F0F0" w:val="clear"/>
        <w:spacing w:before="20" w:after="20"/>
        <w:ind w:left="720"/>
      </w:pPr>
      <w:r>
        <w:rPr>
          <w:rFonts w:ascii="Courier New" w:cs="Courier New" w:eastAsia="Courier New" w:hAnsi="Courier New"/>
          <w:color w:val="1A1A1A"/>
          <w:sz w:val="18"/>
          <w:szCs w:val="18"/>
        </w:rPr>
        <w:t xml:space="preserve">    learned_w = tracker.get_effective_weight(domain)</w:t>
      </w:r>
    </w:p>
    <w:p>
      <w:pPr>
        <w:shd w:fill="F0F0F0" w:val="clear"/>
        <w:spacing w:before="20" w:after="20"/>
        <w:ind w:left="720"/>
      </w:pPr>
      <w:r>
        <w:rPr>
          <w:rFonts w:ascii="Courier New" w:cs="Courier New" w:eastAsia="Courier New" w:hAnsi="Courier New"/>
          <w:color w:val="1A1A1A"/>
          <w:sz w:val="18"/>
          <w:szCs w:val="18"/>
        </w:rPr>
        <w:t xml:space="preserve">    base_authority = base_authority * learned_w</w:t>
      </w:r>
    </w:p>
    <w:p>
      <w:pPr>
        <w:spacing w:before="60" w:after="60"/>
      </w:pPr>
      <w:r>
        <w:t xml:space="preserve"/>
      </w:r>
    </w:p>
    <w:p>
      <w:pPr>
        <w:shd w:fill="FFF2CC" w:val="clear"/>
        <w:spacing w:before="80" w:after="80"/>
        <w:ind w:left="360" w:right="360"/>
      </w:pPr>
      <w:r>
        <w:rPr>
          <w:rFonts w:ascii="Arial" w:cs="Arial" w:eastAsia="Arial" w:hAnsi="Arial"/>
          <w:color w:val="7D5C00"/>
          <w:sz w:val="22"/>
          <w:szCs w:val="22"/>
        </w:rPr>
        <w:t xml:space="preserve">⚠  With fewer than 30 resolved trades, the EvidenceQualityTracker has few or no observations. get_effective_weight() returns 1.0 by default for domains with &lt; 5 citations — this is safe. But once a few resolved trades exist with domain data, weights start deviating before they're statistically reliable. The gate prevents premature weight application.</w:t>
      </w:r>
    </w:p>
    <w:p>
      <w:pPr>
        <w:spacing w:before="60" w:after="60"/>
      </w:pPr>
      <w:r>
        <w:t xml:space="preserve"/>
      </w:r>
    </w:p>
    <w:p>
      <w:pPr>
        <w:spacing w:before="60" w:after="80"/>
      </w:pPr>
      <w:r>
        <w:rPr>
          <w:rFonts w:ascii="Arial" w:cs="Arial" w:eastAsia="Arial" w:hAnsi="Arial"/>
          <w:color w:val="333333"/>
          <w:sz w:val="22"/>
          <w:szCs w:val="22"/>
        </w:rPr>
        <w:t xml:space="preserve">Fix: check auto_weight_sources flag before applying:</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source_fetcher.py — add gate check</w:t>
      </w:r>
    </w:p>
    <w:p>
      <w:pPr>
        <w:shd w:fill="F0F0F0" w:val="clear"/>
        <w:spacing w:before="20" w:after="20"/>
        <w:ind w:left="720"/>
      </w:pPr>
      <w:r>
        <w:rPr>
          <w:rFonts w:ascii="Courier New" w:cs="Courier New" w:eastAsia="Courier New" w:hAnsi="Courier New"/>
          <w:color w:val="1A1A1A"/>
          <w:sz w:val="18"/>
          <w:szCs w:val="18"/>
        </w:rPr>
        <w:t xml:space="preserve">auto_weight = getattr(</w:t>
      </w:r>
    </w:p>
    <w:p>
      <w:pPr>
        <w:shd w:fill="F0F0F0" w:val="clear"/>
        <w:spacing w:before="20" w:after="20"/>
        <w:ind w:left="720"/>
      </w:pPr>
      <w:r>
        <w:rPr>
          <w:rFonts w:ascii="Courier New" w:cs="Courier New" w:eastAsia="Courier New" w:hAnsi="Courier New"/>
          <w:color w:val="1A1A1A"/>
          <w:sz w:val="18"/>
          <w:szCs w:val="18"/>
        </w:rPr>
        <w:t xml:space="preserve">    getattr(self._config, 'continuous_learning', None),</w:t>
      </w:r>
    </w:p>
    <w:p>
      <w:pPr>
        <w:shd w:fill="F0F0F0" w:val="clear"/>
        <w:spacing w:before="20" w:after="20"/>
        <w:ind w:left="720"/>
      </w:pPr>
      <w:r>
        <w:rPr>
          <w:rFonts w:ascii="Courier New" w:cs="Courier New" w:eastAsia="Courier New" w:hAnsi="Courier New"/>
          <w:color w:val="1A1A1A"/>
          <w:sz w:val="18"/>
          <w:szCs w:val="18"/>
        </w:rPr>
        <w:t xml:space="preserve">    'auto_weight_sources', False</w:t>
      </w:r>
    </w:p>
    <w:p>
      <w:pPr>
        <w:shd w:fill="F0F0F0" w:val="clear"/>
        <w:spacing w:before="20" w:after="20"/>
        <w:ind w:left="720"/>
      </w:pPr>
      <w:r>
        <w:rPr>
          <w:rFonts w:ascii="Courier New" w:cs="Courier New" w:eastAsia="Courier New" w:hAnsi="Courier New"/>
          <w:color w:val="1A1A1A"/>
          <w:sz w:val="18"/>
          <w:szCs w:val="18"/>
        </w:rPr>
        <w:t xml:space="preserve">)</w:t>
      </w:r>
    </w:p>
    <w:p>
      <w:pPr>
        <w:shd w:fill="F0F0F0" w:val="clear"/>
        <w:spacing w:before="20" w:after="20"/>
        <w:ind w:left="720"/>
      </w:pPr>
      <w:r>
        <w:rPr>
          <w:rFonts w:ascii="Courier New" w:cs="Courier New" w:eastAsia="Courier New" w:hAnsi="Courier New"/>
          <w:color w:val="1A1A1A"/>
          <w:sz w:val="18"/>
          <w:szCs w:val="18"/>
        </w:rPr>
        <w:t xml:space="preserve">tracker = self._get_evidence_tracker() if auto_weight else None</w:t>
      </w:r>
    </w:p>
    <w:p>
      <w:pPr>
        <w:shd w:fill="F0F0F0" w:val="clear"/>
        <w:spacing w:before="20" w:after="20"/>
        <w:ind w:left="720"/>
      </w:pPr>
      <w:r>
        <w:rPr>
          <w:rFonts w:ascii="Courier New" w:cs="Courier New" w:eastAsia="Courier New" w:hAnsi="Courier New"/>
          <w:color w:val="1A1A1A"/>
          <w:sz w:val="18"/>
          <w:szCs w:val="18"/>
        </w:rPr>
        <w:t xml:space="preserve">if tracker is not None:</w:t>
      </w:r>
    </w:p>
    <w:p>
      <w:pPr>
        <w:shd w:fill="F0F0F0" w:val="clear"/>
        <w:spacing w:before="20" w:after="20"/>
        <w:ind w:left="720"/>
      </w:pPr>
      <w:r>
        <w:rPr>
          <w:rFonts w:ascii="Courier New" w:cs="Courier New" w:eastAsia="Courier New" w:hAnsi="Courier New"/>
          <w:color w:val="1A1A1A"/>
          <w:sz w:val="18"/>
          <w:szCs w:val="18"/>
        </w:rPr>
        <w:t xml:space="preserve">    domain = _extract_domain(sr.url)</w:t>
      </w:r>
    </w:p>
    <w:p>
      <w:pPr>
        <w:shd w:fill="F0F0F0" w:val="clear"/>
        <w:spacing w:before="20" w:after="20"/>
        <w:ind w:left="720"/>
      </w:pPr>
      <w:r>
        <w:rPr>
          <w:rFonts w:ascii="Courier New" w:cs="Courier New" w:eastAsia="Courier New" w:hAnsi="Courier New"/>
          <w:color w:val="1A1A1A"/>
          <w:sz w:val="18"/>
          <w:szCs w:val="18"/>
        </w:rPr>
        <w:t xml:space="preserve">    learned_w = tracker.get_effective_weight(domain)</w:t>
      </w:r>
    </w:p>
    <w:p>
      <w:pPr>
        <w:shd w:fill="F0F0F0" w:val="clear"/>
        <w:spacing w:before="20" w:after="20"/>
        <w:ind w:left="720"/>
      </w:pPr>
      <w:r>
        <w:rPr>
          <w:rFonts w:ascii="Courier New" w:cs="Courier New" w:eastAsia="Courier New" w:hAnsi="Courier New"/>
          <w:color w:val="1A1A1A"/>
          <w:sz w:val="18"/>
          <w:szCs w:val="18"/>
        </w:rPr>
        <w:t xml:space="preserve">    base_authority = base_authority * learned_w</w:t>
      </w:r>
    </w:p>
    <w:p>
      <w:pPr>
        <w:spacing w:before="60" w:after="60"/>
      </w:pPr>
      <w:r>
        <w:t xml:space="preserve"/>
      </w:r>
    </w:p>
    <w:p>
      <w:pPr>
        <w:shd w:fill="D6E4F0" w:val="clear"/>
        <w:spacing w:before="80" w:after="80"/>
        <w:ind w:left="360" w:right="360"/>
      </w:pPr>
      <w:r>
        <w:rPr>
          <w:rFonts w:ascii="Arial" w:cs="Arial" w:eastAsia="Arial" w:hAnsi="Arial"/>
          <w:color w:val="1F4E79"/>
          <w:sz w:val="22"/>
          <w:szCs w:val="22"/>
        </w:rPr>
        <w:t xml:space="preserve">ℹ  auto_weight_sources: false is the current config value. Once this gate is added, the weighting will remain dormant (correctly) until you enable it after 30+ resolved trades. The EvidenceQualityTracker will still accumulate domain data from exit_finalizer._record_evidence_quality() — the gate only controls whether those weights are applied to source ranking.</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3 — Design Differences (Acceptable)</w:t>
      </w:r>
    </w:p>
    <w:p>
      <w:pPr>
        <w:pStyle w:val="Heading2"/>
        <w:spacing w:before="280" w:after="100"/>
      </w:pPr>
      <w:r>
        <w:rPr>
          <w:rFonts w:ascii="Arial" w:cs="Arial" w:eastAsia="Arial" w:hAnsi="Arial"/>
          <w:b/>
          <w:bCs/>
          <w:color w:val="2E75B6"/>
          <w:sz w:val="28"/>
          <w:szCs w:val="28"/>
        </w:rPr>
        <w:t xml:space="preserve">GDELT: tonechart vs artlist</w:t>
      </w:r>
    </w:p>
    <w:p>
      <w:pPr>
        <w:spacing w:before="60" w:after="80"/>
      </w:pPr>
      <w:r>
        <w:rPr>
          <w:rFonts w:ascii="Arial" w:cs="Arial" w:eastAsia="Arial" w:hAnsi="Arial"/>
          <w:color w:val="333333"/>
          <w:sz w:val="22"/>
          <w:szCs w:val="22"/>
        </w:rPr>
        <w:t xml:space="preserve">The spec requested using GDELT's artlist mode to extract named entities (persons, organizations, locations) from articles. The implementation uses tonechart mode instead, which returns a time-series of media sentiment scores. These are different outputs: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Returns</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LLM signal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artlist (spec)</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Article titles + V2Tone + V2Themes + V2Locations + V2Persons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Entity context: 'Articles mention: Khamenei (4x), IRGC (3x), Israel (9x)'</w:t>
            </w:r>
          </w:p>
        </w:tc>
      </w:tr>
      <w:tr>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tonechart (actual)</w:t>
            </w:r>
          </w:p>
        </w:tc>
        <w:tc>
          <w:tcPr>
            <w:tcW w:type="dxa" w:w="3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Array of [date, avg_tone] data points</w:t>
            </w:r>
          </w:p>
        </w:tc>
        <w:tc>
          <w:tcPr>
            <w:tcW w:type="dxa" w:w="4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Tone trend: 'GDELT media tone: -3.2 (negative, 847 articles)' over 7 days</w:t>
            </w:r>
          </w:p>
        </w:tc>
      </w:tr>
    </w:tbl>
    <w:p>
      <w:pPr>
        <w:spacing w:before="60" w:after="60"/>
      </w:pPr>
      <w:r>
        <w:t xml:space="preserve"/>
      </w:r>
    </w:p>
    <w:p>
      <w:pPr>
        <w:spacing w:before="60" w:after="80"/>
      </w:pPr>
      <w:r>
        <w:rPr>
          <w:rFonts w:ascii="Arial" w:cs="Arial" w:eastAsia="Arial" w:hAnsi="Arial"/>
          <w:color w:val="333333"/>
          <w:sz w:val="22"/>
          <w:szCs w:val="22"/>
        </w:rPr>
        <w:t xml:space="preserve">The tonechart implementation is a valid and useful signal. Persistent negative media tone correlates with conflict escalation. The implementation correctly computes average tone, range, and trend, and populates gdelt_tone, gdelt_sentiment, and gdelt_article_count in the SignalStack. The render block shows this information to the LLM.</w:t>
      </w:r>
    </w:p>
    <w:p>
      <w:pPr>
        <w:spacing w:before="60" w:after="80"/>
      </w:pPr>
      <w:r>
        <w:rPr>
          <w:rFonts w:ascii="Arial" w:cs="Arial" w:eastAsia="Arial" w:hAnsi="Arial"/>
          <w:color w:val="333333"/>
          <w:sz w:val="22"/>
          <w:szCs w:val="22"/>
        </w:rPr>
        <w:t xml:space="preserve">Artlist would provide richer entity-level context and is worth adding in a future pass. For now, tonechart is a good first implementation of GDELT tone data.</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Second SourceFetcher instantiation missing db_path</w:t>
      </w:r>
    </w:p>
    <w:p>
      <w:pPr>
        <w:spacing w:before="60" w:after="80"/>
      </w:pPr>
      <w:r>
        <w:rPr>
          <w:rFonts w:ascii="Arial" w:cs="Arial" w:eastAsia="Arial" w:hAnsi="Arial"/>
          <w:color w:val="333333"/>
          <w:sz w:val="22"/>
          <w:szCs w:val="22"/>
        </w:rPr>
        <w:t xml:space="preserve">In pipeline.py, there is a lazy fallback path at line 181 that creates a new SourceFetcher without db_path:</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pipeline.py — fallback path (line ~181)</w:t>
      </w:r>
    </w:p>
    <w:p>
      <w:pPr>
        <w:shd w:fill="F0F0F0" w:val="clear"/>
        <w:spacing w:before="20" w:after="20"/>
        <w:ind w:left="720"/>
      </w:pPr>
      <w:r>
        <w:rPr>
          <w:rFonts w:ascii="Courier New" w:cs="Courier New" w:eastAsia="Courier New" w:hAnsi="Courier New"/>
          <w:color w:val="1A1A1A"/>
          <w:sz w:val="18"/>
          <w:szCs w:val="18"/>
        </w:rPr>
        <w:t xml:space="preserve">source_fetcher = SourceFetcher(search_provider, self.config.research)</w:t>
      </w:r>
    </w:p>
    <w:p>
      <w:pPr>
        <w:shd w:fill="F0F0F0" w:val="clear"/>
        <w:spacing w:before="20" w:after="20"/>
        <w:ind w:left="720"/>
      </w:pPr>
      <w:r>
        <w:rPr>
          <w:rFonts w:ascii="Courier New" w:cs="Courier New" w:eastAsia="Courier New" w:hAnsi="Courier New"/>
          <w:color w:val="1A1A1A"/>
          <w:sz w:val="18"/>
          <w:szCs w:val="18"/>
        </w:rPr>
        <w:t xml:space="preserve"># Missing: db_path=config.storage.sqlite_path</w:t>
      </w:r>
    </w:p>
    <w:p>
      <w:pPr>
        <w:spacing w:before="60" w:after="60"/>
      </w:pPr>
      <w:r>
        <w:t xml:space="preserve"/>
      </w:r>
    </w:p>
    <w:p>
      <w:pPr>
        <w:spacing w:before="60" w:after="80"/>
      </w:pPr>
      <w:r>
        <w:rPr>
          <w:rFonts w:ascii="Arial" w:cs="Arial" w:eastAsia="Arial" w:hAnsi="Arial"/>
          <w:color w:val="333333"/>
          <w:sz w:val="22"/>
          <w:szCs w:val="22"/>
        </w:rPr>
        <w:t xml:space="preserve">This fallback is rarely invoked (only when the singleton init failed). When it is used, evidence quality weighting is silently disabled for that cycle. Not a bug per se — evidence weighting is optional and safe to skip — but it's inconsistent. Fix: add db_path to the fallback call. Low priority.</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4 — Summary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Verdict</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Kronos regex fix</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Binance futures funding rate</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DeFiLlama TVL connector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GitHub activity connector</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SignalStack + render_signal_stack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ACLED connector (trend bug)</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Fix date-based trend split — see Bug 1 fix code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GDELT GKG (tonechart)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acceptable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Optional future: upgrade to artlist for entity extraction</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Evidence quality gating</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auto_weight_sources gate — see Bug 2 fix code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Second SourceFetcher db_path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db_path to fallback path in pipeline.py — low priority</w:t>
            </w:r>
          </w:p>
        </w:tc>
      </w:tr>
    </w:tbl>
    <w:p>
      <w:pPr>
        <w:spacing w:before="60" w:after="60"/>
      </w:pPr>
      <w:r>
        <w:t xml:space="preserve"/>
      </w:r>
    </w:p>
    <w:p>
      <w:pPr>
        <w:spacing w:before="60" w:after="80"/>
      </w:pPr>
      <w:r>
        <w:rPr>
          <w:rFonts w:ascii="Arial" w:cs="Arial" w:eastAsia="Arial" w:hAnsi="Arial"/>
          <w:color w:val="333333"/>
          <w:sz w:val="22"/>
          <w:szCs w:val="22"/>
        </w:rPr>
        <w:t xml:space="preserve">The codebase now has 26 active research connectors spanning all major market categories. With ACLED and Binance funding both active, GEOPOLITICS and CRYPTO research quality have taken their largest single leaps since the project began. Fix Bug 1 (ACLED trend) and Bug 2 (evidence quality gate) and the deferred roadmap is complete.</w:t>
      </w:r>
    </w:p>
    <w:p>
      <w:pPr>
        <w:spacing w:before="60" w:after="60"/>
      </w:pPr>
      <w:r>
        <w:t xml:space="preserve"/>
      </w:r>
    </w:p>
    <w:p>
      <w:pPr>
        <w:pBdr>
          <w:bottom w:val="single" w:color="2E75B6" w:sz="4"/>
        </w:pBdr>
        <w:spacing w:before="120" w:after="120"/>
      </w:pPr>
      <w:r>
        <w:t xml:space="preserve"/>
      </w:r>
    </w:p>
    <w:p>
      <w:pPr>
        <w:spacing w:before="120" w:after="60"/>
        <w:jc w:val="center"/>
      </w:pPr>
      <w:r>
        <w:rPr>
          <w:rFonts w:ascii="Arial" w:cs="Arial" w:eastAsia="Arial" w:hAnsi="Arial"/>
          <w:i/>
          <w:iCs/>
          <w:color w:val="595959"/>
          <w:sz w:val="18"/>
          <w:szCs w:val="18"/>
        </w:rPr>
        <w:t xml:space="preserve">Code Review v26  |  April 2026  |  3,667 tests  |  26 connectors  |  2 bugs to fix  |  Deferred roadmap 95% complete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pPr>
    <w:r>
      <w:rPr>
        <w:rFonts w:ascii="Arial" w:cs="Arial" w:eastAsia="Arial" w:hAnsi="Arial"/>
        <w:color w:val="595959"/>
        <w:sz w:val="16"/>
        <w:szCs w:val="16"/>
      </w:rPr>
      <w:t xml:space="preserve">Code Review v26  |  Commit be35c57  |  3,667 tests passing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tabs>
        <w:tab w:val="right" w:pos="9026"/>
      </w:tabs>
    </w:pPr>
    <w:r>
      <w:rPr>
        <w:rFonts w:ascii="Arial" w:cs="Arial" w:eastAsia="Arial" w:hAnsi="Arial"/>
        <w:b/>
        <w:bCs/>
        <w:color w:val="1F4E79"/>
        <w:sz w:val="18"/>
        <w:szCs w:val="18"/>
      </w:rPr>
      <w:t xml:space="preserve">Polymarket Bot — Code Review v26</w:t>
    </w:r>
    <w:r>
      <w:rPr>
        <w:rFonts w:ascii="Arial" w:cs="Arial" w:eastAsia="Arial" w:hAnsi="Arial"/>
        <w:color w:val="595959"/>
        <w:sz w:val="18"/>
        <w:szCs w:val="18"/>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2026-04-09T21:06:40.738Z</dcterms:created>
  <dcterms:modified xsi:type="dcterms:W3CDTF">2026-04-09T21:06:40.739Z</dcterms:modified>
</cp:coreProperties>
</file>

<file path=docProps/custom.xml><?xml version="1.0" encoding="utf-8"?>
<Properties xmlns="http://schemas.openxmlformats.org/officeDocument/2006/custom-properties" xmlns:vt="http://schemas.openxmlformats.org/officeDocument/2006/docPropsVTypes"/>
</file>