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Code Review v21 — Final Bottleneck &amp; Profitability Pass</w:t>
      </w:r>
    </w:p>
    <w:p>
      <w:pPr>
        <w:spacing w:before="0" w:after="400"/>
      </w:pPr>
      <w:r>
        <w:rPr>
          <w:rFonts w:ascii="Arial" w:cs="Arial" w:eastAsia="Arial" w:hAnsi="Arial"/>
          <w:color w:val="595959"/>
          <w:sz w:val="22"/>
          <w:szCs w:val="22"/>
        </w:rPr>
        <w:t xml:space="preserve">Commit 9098f3d. 3,436 tests, 0 failures. All v20 items confirmed clean. Two issues found. A new sportsbook dual-edge signal was identified. Architecture health assessment and paper-to-live trading readiness checklist included.</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9098f3d — review 20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3,436 passed, 0 failed (+21 since v20)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v20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Arsenal base rate ✅  VaR preliminary Kelly ✅  evidence_model_gating enabled ✅  max_markets_per_cycle:5 ✅  Time decay &gt;90d fixed ✅</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issues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Page content fetch still uses 30s shared timeout; daily_limit 15 may stop bot at ~12h under some conditions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feature found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Sportsbook dual-edge: bot takes max(model_edge, sportsbook_edge × 0.7) for SPORTS — excellent quant signal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Architecture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major bottlenecks resolved. Research pipeline timeout coverage: per-connector ✅  per-query ✅  per-page ❌</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v20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Arsenal 'Will [Team] win?' base rate pattern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7 real Polymarket SPORTS phrasings now match. 12 total SPORTS patterns covering H2H, spread, O/U, BTTS, esports, single-team win/advance formats.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VaR gate preliminary Kelly estimate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calculate_position_size() called before PositionSnapshot creation. Estimated size from real Kelly replaces hardcoded 50.0. Falls back to 50.0 on any exception.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evidence_model_gating_enabled: true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Low-evidence markets use 2 models, medium 3 models, full evidence uses all 5. Confirmed via config load.</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max_markets_per_cycle: 5</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Reduced from 10. With gating, expected daily cost ~12–18 USD on 5-candidate cycles.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decay &gt;90d linear discount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Continues from 0.70 at 90d → 0.40 at 365d → 0.30 floor. 365-day markets now properly sized at 40% of base Kelly.</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daily_limit_usd: 15</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Borderline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With 5 candidates + gating, estimated ~12–18 USD/day. At 15 budget, bot may stop 2–6 hours before midnight on high-activity days. Raise to 20–25 for comfortable headroom.</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Issues Found</w:t>
      </w:r>
    </w:p>
    <w:p>
      <w:pPr>
        <w:pStyle w:val="Heading2"/>
        <w:spacing w:before="280" w:after="100"/>
      </w:pPr>
      <w:r>
        <w:rPr>
          <w:rFonts w:ascii="Arial" w:cs="Arial" w:eastAsia="Arial" w:hAnsi="Arial"/>
          <w:b/>
          <w:bCs/>
          <w:color w:val="2E75B6"/>
          <w:sz w:val="28"/>
          <w:szCs w:val="28"/>
        </w:rPr>
        <w:t xml:space="preserve">Issue 1 (Medium) — Page content fetch uses 30s shared timeout (third shared timeout in series)</w:t>
      </w:r>
    </w:p>
    <w:p>
      <w:pPr>
        <w:pStyle w:val="Heading3"/>
        <w:spacing w:before="200" w:after="80"/>
      </w:pPr>
      <w:r>
        <w:rPr>
          <w:rFonts w:ascii="Arial" w:cs="Arial" w:eastAsia="Arial" w:hAnsi="Arial"/>
          <w:b/>
          <w:bCs/>
          <w:color w:val="333333"/>
          <w:sz w:val="24"/>
          <w:szCs w:val="24"/>
        </w:rPr>
        <w:t xml:space="preserve">Background</w:t>
      </w:r>
    </w:p>
    <w:p>
      <w:pPr>
        <w:spacing w:before="60" w:after="80"/>
      </w:pPr>
      <w:r>
        <w:rPr>
          <w:rFonts w:ascii="Arial" w:cs="Arial" w:eastAsia="Arial" w:hAnsi="Arial"/>
          <w:color w:val="333333"/>
          <w:sz w:val="22"/>
          <w:szCs w:val="22"/>
        </w:rPr>
        <w:t xml:space="preserve">The per-connector and per-query timeouts were fixed in v18 and v19 respectively. There is one more shared timeout remaining: the page content fetch in source_fetcher.fetch_sources() still wraps all URL fetches in a single asyncio.wait_for with a 30-second total timeout: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content fetch (still shared)</w:t>
      </w:r>
    </w:p>
    <w:p>
      <w:pPr>
        <w:shd w:fill="F0F0F0" w:val="clear"/>
        <w:spacing w:before="20" w:after="20"/>
        <w:ind w:left="720"/>
      </w:pPr>
      <w:r>
        <w:rPr>
          <w:rFonts w:ascii="Courier New" w:cs="Courier New" w:eastAsia="Courier New" w:hAnsi="Courier New"/>
          <w:color w:val="1A1A1A"/>
          <w:sz w:val="18"/>
          <w:szCs w:val="18"/>
        </w:rPr>
        <w:t xml:space="preserve">contents = await asyncio.wait_for(</w:t>
      </w:r>
    </w:p>
    <w:p>
      <w:pPr>
        <w:shd w:fill="F0F0F0" w:val="clear"/>
        <w:spacing w:before="20" w:after="20"/>
        <w:ind w:left="720"/>
      </w:pPr>
      <w:r>
        <w:rPr>
          <w:rFonts w:ascii="Courier New" w:cs="Courier New" w:eastAsia="Courier New" w:hAnsi="Courier New"/>
          <w:color w:val="1A1A1A"/>
          <w:sz w:val="18"/>
          <w:szCs w:val="18"/>
        </w:rPr>
        <w:t xml:space="preserve">    asyncio.gather(*content_tasks, return_exceptions=True),</w:t>
      </w:r>
    </w:p>
    <w:p>
      <w:pPr>
        <w:shd w:fill="F0F0F0" w:val="clear"/>
        <w:spacing w:before="20" w:after="20"/>
        <w:ind w:left="720"/>
      </w:pPr>
      <w:r>
        <w:rPr>
          <w:rFonts w:ascii="Courier New" w:cs="Courier New" w:eastAsia="Courier New" w:hAnsi="Courier New"/>
          <w:color w:val="1A1A1A"/>
          <w:sz w:val="18"/>
          <w:szCs w:val="18"/>
        </w:rPr>
        <w:t xml:space="preserve">    timeout=30.0,   # ← shared for ALL pages</w:t>
      </w:r>
    </w:p>
    <w:p>
      <w:pPr>
        <w:shd w:fill="F0F0F0" w:val="clear"/>
        <w:spacing w:before="20" w:after="20"/>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With content_fetch_top_n: 8 set in config.yaml, the bot fetches up to 8 article bodies after the search phase. Each uses the httpx client which already has a per-request timeout of 22s (source_timeout_secs). The compound effect is: if page 1 takes 21 seconds to respond, the 30-second wrapper has only 9 seconds left for pages 2–8. Pages that would have responded in 5 seconds get cancelled because page 1 consumed most of the shared budget.</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A single slow news site cancels full-article content for all remaining pages. This matters for ELECTION and GEOPOLITICS markets where policy text and detailed reporting are the primary evidence source. Losing 7 article bodies in a cycle means the evidence extractor works with just snippets.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Impact context</w:t>
      </w:r>
    </w:p>
    <w:p>
      <w:pPr>
        <w:spacing w:before="60" w:after="80"/>
      </w:pPr>
      <w:r>
        <w:rPr>
          <w:rFonts w:ascii="Arial" w:cs="Arial" w:eastAsia="Arial" w:hAnsi="Arial"/>
          <w:color w:val="333333"/>
          <w:sz w:val="22"/>
          <w:szCs w:val="22"/>
        </w:rPr>
        <w:t xml:space="preserve">The httpx client timeout (22s) already handles individual request slowness — a page that does not respond within 22s fails at the transport level and returns an exception. The outer gather timeout only adds value if the sum of many requests exceeds the budget. With per-request 22s timeouts, the outer timeout only fires in a worst case where enough pages each take close to 22s. In practice, page fetches either succeed in 1–10s or time out at 22s individually.</w:t>
      </w:r>
    </w:p>
    <w:p>
      <w:pPr>
        <w:spacing w:before="60" w:after="80"/>
      </w:pPr>
      <w:r>
        <w:rPr>
          <w:rFonts w:ascii="Arial" w:cs="Arial" w:eastAsia="Arial" w:hAnsi="Arial"/>
          <w:color w:val="333333"/>
          <w:sz w:val="22"/>
          <w:szCs w:val="22"/>
        </w:rPr>
        <w:t xml:space="preserve">Removing the outer timeout and relying on the per-request httpx timeout is the correct fix. If individual pages fail, asyncio.gather(return_exceptions=True) still catches the exception and continues. The total content fetch duration becomes bounded by max(individual_timeouts) rather than a shared budget: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content fetch fix</w:t>
      </w:r>
    </w:p>
    <w:p>
      <w:pPr>
        <w:shd w:fill="F0F0F0" w:val="clear"/>
        <w:spacing w:before="20" w:after="20"/>
        <w:ind w:left="720"/>
      </w:pPr>
      <w:r>
        <w:rPr>
          <w:rFonts w:ascii="Courier New" w:cs="Courier New" w:eastAsia="Courier New" w:hAnsi="Courier New"/>
          <w:color w:val="1A1A1A"/>
          <w:sz w:val="18"/>
          <w:szCs w:val="18"/>
        </w:rPr>
        <w:t xml:space="preserve"># Remove the outer asyncio.wait_for wrapper</w:t>
      </w:r>
    </w:p>
    <w:p>
      <w:pPr>
        <w:shd w:fill="F0F0F0" w:val="clear"/>
        <w:spacing w:before="20" w:after="20"/>
        <w:ind w:left="720"/>
      </w:pPr>
      <w:r>
        <w:rPr>
          <w:rFonts w:ascii="Courier New" w:cs="Courier New" w:eastAsia="Courier New" w:hAnsi="Courier New"/>
          <w:color w:val="1A1A1A"/>
          <w:sz w:val="18"/>
          <w:szCs w:val="18"/>
        </w:rPr>
        <w:t xml:space="preserve">contents = await asyncio.gather(*content_tasks, return_exceptions=True)</w:t>
      </w:r>
    </w:p>
    <w:p>
      <w:pPr>
        <w:shd w:fill="F0F0F0" w:val="clear"/>
        <w:spacing w:before="20" w:after="20"/>
        <w:ind w:left="720"/>
      </w:pPr>
      <w:r>
        <w:rPr>
          <w:rFonts w:ascii="Courier New" w:cs="Courier New" w:eastAsia="Courier New" w:hAnsi="Courier New"/>
          <w:color w:val="1A1A1A"/>
          <w:sz w:val="18"/>
          <w:szCs w:val="18"/>
        </w:rPr>
        <w:t xml:space="preserve"># Each fetch_page_content call already has the httpx 22s timeout</w:t>
      </w:r>
    </w:p>
    <w:p>
      <w:pPr>
        <w:shd w:fill="F0F0F0" w:val="clear"/>
        <w:spacing w:before="20" w:after="20"/>
        <w:ind w:left="720"/>
      </w:pPr>
      <w:r>
        <w:rPr>
          <w:rFonts w:ascii="Courier New" w:cs="Courier New" w:eastAsia="Courier New" w:hAnsi="Courier New"/>
          <w:color w:val="1A1A1A"/>
          <w:sz w:val="18"/>
          <w:szCs w:val="18"/>
        </w:rPr>
        <w:t xml:space="preserve"># No shared wrapper needed — failures are caught by return_exceptions=True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If content_fetch_top_n is 8 and all 8 fail individually after 22s each, max content fetch time is 22s (they run in parallel). In practice, 6–7 of 8 succeed quickly and the total is dominated by the slowest single page. This is strictly better than the current shared timeout which can cancel fast pages due to one slow one.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2 (Low) — daily_limit_usd: 15 borderline for continuous operation</w:t>
      </w:r>
    </w:p>
    <w:p>
      <w:pPr>
        <w:spacing w:before="60" w:after="80"/>
      </w:pPr>
      <w:r>
        <w:rPr>
          <w:rFonts w:ascii="Arial" w:cs="Arial" w:eastAsia="Arial" w:hAnsi="Arial"/>
          <w:color w:val="333333"/>
          <w:sz w:val="22"/>
          <w:szCs w:val="22"/>
        </w:rPr>
        <w:t xml:space="preserve">With evidence_model_gating enabled and max_markets_per_cycle: 5, the estimated daily cost is approximately 12–18 USD depending on how many candidates reach the LLM forecast stage (some skip at research quality gate). At exactly 15 USD, the bot has no headroom — any cycle with slightly higher than average cost pushes it past the limit and it goes idle for the rest of the day.</w:t>
      </w:r>
    </w:p>
    <w:p>
      <w:pPr>
        <w:spacing w:before="60" w:after="80"/>
      </w:pPr>
      <w:r>
        <w:rPr>
          <w:rFonts w:ascii="Arial" w:cs="Arial" w:eastAsia="Arial" w:hAnsi="Arial"/>
          <w:color w:val="333333"/>
          <w:sz w:val="22"/>
          <w:szCs w:val="22"/>
        </w:rPr>
        <w:t xml:space="preserve">This is a low-risk, one-line fix:</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w:t>
      </w:r>
    </w:p>
    <w:p>
      <w:pPr>
        <w:shd w:fill="F0F0F0" w:val="clear"/>
        <w:spacing w:before="20" w:after="20"/>
        <w:ind w:left="720"/>
      </w:pPr>
      <w:r>
        <w:rPr>
          <w:rFonts w:ascii="Courier New" w:cs="Courier New" w:eastAsia="Courier New" w:hAnsi="Courier New"/>
          <w:color w:val="1A1A1A"/>
          <w:sz w:val="18"/>
          <w:szCs w:val="18"/>
        </w:rPr>
        <w:t xml:space="preserve">budget:</w:t>
      </w:r>
    </w:p>
    <w:p>
      <w:pPr>
        <w:shd w:fill="F0F0F0" w:val="clear"/>
        <w:spacing w:before="20" w:after="20"/>
        <w:ind w:left="720"/>
      </w:pPr>
      <w:r>
        <w:rPr>
          <w:rFonts w:ascii="Courier New" w:cs="Courier New" w:eastAsia="Courier New" w:hAnsi="Courier New"/>
          <w:color w:val="1A1A1A"/>
          <w:sz w:val="18"/>
          <w:szCs w:val="18"/>
        </w:rPr>
        <w:t xml:space="preserve">  daily_limit_usd: 25.0   # was 15.0 — adds 10 USD headroom for gating variability</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25 USD allows full-day operation even on cycles with all 5 candidates reaching full 5-model ensemble (when evidence quality is high enough to bypass gating). The warning_pct: 0.8 threshold at 20 USD provides an alert before the limit is hit.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Notable Findings: New Capability</w:t>
      </w:r>
    </w:p>
    <w:p>
      <w:pPr>
        <w:pStyle w:val="Heading2"/>
        <w:spacing w:before="280" w:after="100"/>
      </w:pPr>
      <w:r>
        <w:rPr>
          <w:rFonts w:ascii="Arial" w:cs="Arial" w:eastAsia="Arial" w:hAnsi="Arial"/>
          <w:b/>
          <w:bCs/>
          <w:color w:val="2E75B6"/>
          <w:sz w:val="28"/>
          <w:szCs w:val="28"/>
        </w:rPr>
        <w:t xml:space="preserve">Sportsbook Dual-Edge Signal — Excellent Quant Addition</w:t>
      </w:r>
    </w:p>
    <w:p>
      <w:pPr>
        <w:spacing w:before="60" w:after="80"/>
      </w:pPr>
      <w:r>
        <w:rPr>
          <w:rFonts w:ascii="Arial" w:cs="Arial" w:eastAsia="Arial" w:hAnsi="Arial"/>
          <w:color w:val="333333"/>
          <w:sz w:val="22"/>
          <w:szCs w:val="22"/>
        </w:rPr>
        <w:t xml:space="preserve">A significant new capability was discovered in this audit: the pipeline implements a sportsbook dual-edge override in stage_edge_calc(). When the sportsbook consensus signal is present (from SportsOddsConnector), the bot computes two edges: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Model edge: abs(model_probability - implied_probability), the standard LLM-derived edge</w:t>
      </w:r>
    </w:p>
    <w:p>
      <w:pPr>
        <w:pStyle w:val="ListParagraph"/>
        <w:numPr>
          <w:ilvl w:val="0"/>
          <w:numId w:val="2"/>
        </w:numPr>
        <w:spacing w:before="40" w:after="40"/>
      </w:pPr>
      <w:r>
        <w:rPr>
          <w:rFonts w:ascii="Arial" w:cs="Arial" w:eastAsia="Arial" w:hAnsi="Arial"/>
          <w:color w:val="333333"/>
          <w:sz w:val="22"/>
          <w:szCs w:val="22"/>
        </w:rPr>
        <w:t xml:space="preserve">Sportsbook edge: abs(sportsbook_consensus - implied_probability) × 0.7, the Pinnacle/Bet365 consensus discounted by 30%</w:t>
      </w:r>
    </w:p>
    <w:p>
      <w:pPr>
        <w:spacing w:before="60" w:after="60"/>
      </w:pPr>
      <w:r>
        <w:t xml:space="preserve"/>
      </w:r>
    </w:p>
    <w:p>
      <w:pPr>
        <w:spacing w:before="60" w:after="80"/>
      </w:pPr>
      <w:r>
        <w:rPr>
          <w:rFonts w:ascii="Arial" w:cs="Arial" w:eastAsia="Arial" w:hAnsi="Arial"/>
          <w:color w:val="333333"/>
          <w:sz w:val="22"/>
          <w:szCs w:val="22"/>
        </w:rPr>
        <w:t xml:space="preserve">If sportsbook_edge_discounted &gt; model_edge, the bot uses the sportsbook-anchored probability instead of the LLM model probability. The rationale is correct: professional sportsbooks price with real money at stake. The Pinnacle sharp line is calibrated by the sharpest bettors on earth. If Polymarket's implied probability diverges from Pinnacle by 20%, that is almost certainly a Polymarket mispricing rather than a Pinnacle error.</w:t>
      </w:r>
    </w:p>
    <w:p>
      <w:pPr>
        <w:spacing w:before="60" w:after="60"/>
      </w:pPr>
      <w:r>
        <w:t xml:space="preserve"/>
      </w:r>
    </w:p>
    <w:p>
      <w:pPr>
        <w:shd w:fill="E2EFDA" w:val="clear"/>
        <w:spacing w:before="80" w:after="80"/>
        <w:ind w:left="360" w:right="360"/>
      </w:pPr>
      <w:r>
        <w:rPr>
          <w:rFonts w:ascii="Arial" w:cs="Arial" w:eastAsia="Arial" w:hAnsi="Arial"/>
          <w:color w:val="375623"/>
          <w:sz w:val="22"/>
          <w:szCs w:val="22"/>
        </w:rPr>
        <w:t xml:space="preserve">✓  The 0.7 discount factor is appropriately conservative — it doesn't fully trust the sportsbook over the model, but uses the book as a strong prior when it diverges. This is exactly the kind of signal integration a quant shop would implement.</w:t>
      </w:r>
    </w:p>
    <w:p>
      <w:pPr>
        <w:spacing w:before="60" w:after="60"/>
      </w:pPr>
      <w:r>
        <w:t xml:space="preserve"/>
      </w:r>
    </w:p>
    <w:p>
      <w:pPr>
        <w:spacing w:before="60" w:after="80"/>
      </w:pPr>
      <w:r>
        <w:rPr>
          <w:rFonts w:ascii="Arial" w:cs="Arial" w:eastAsia="Arial" w:hAnsi="Arial"/>
          <w:color w:val="333333"/>
          <w:sz w:val="22"/>
          <w:szCs w:val="22"/>
        </w:rPr>
        <w:t xml:space="preserve">This signal only activates when sports API keys are configured. If ODDS_API_KEY is set in .env, this is producing real alpha on SPORTS markets right now. If not, it falls through gracefully.</w:t>
      </w:r>
    </w:p>
    <w:p>
      <w:pPr>
        <w:spacing w:before="60" w:after="60"/>
      </w:pPr>
      <w:r>
        <w:t xml:space="preserve"/>
      </w:r>
    </w:p>
    <w:p>
      <w:pPr>
        <w:shd w:fill="EDE7F6" w:val="clear"/>
        <w:spacing w:before="80" w:after="80"/>
        <w:ind w:left="360" w:right="360"/>
      </w:pPr>
      <w:r>
        <w:rPr>
          <w:rFonts w:ascii="Arial" w:cs="Arial" w:eastAsia="Arial" w:hAnsi="Arial"/>
          <w:color w:val="1F6B75"/>
          <w:sz w:val="22"/>
          <w:szCs w:val="22"/>
        </w:rPr>
        <w:t xml:space="preserve">💡  Consider logging when the sportsbook dual-edge override is applied (engine.sportsbook_dual_edge is already logged). After 20+ SPORTS trades, review whether sportsbook-anchored trades outperform model-only trades. If yes, consider raising the 0.7 discount factor toward 0.85.</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Timeout Coverage: 75% Complete</w:t>
      </w:r>
    </w:p>
    <w:p>
      <w:pPr>
        <w:spacing w:before="60" w:after="80"/>
      </w:pPr>
      <w:r>
        <w:rPr>
          <w:rFonts w:ascii="Arial" w:cs="Arial" w:eastAsia="Arial" w:hAnsi="Arial"/>
          <w:color w:val="333333"/>
          <w:sz w:val="22"/>
          <w:szCs w:val="22"/>
        </w:rPr>
        <w:t xml:space="preserve">After three rounds of timeout fixes, the research pipeline now handles failures gracefully for three of four fetch layers:</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4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Timeout 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Structured API 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Per-connector wait_for(22s)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v18. GDELT timeout doesn't cancel Metaculus/FRED.</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search queries</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Per-query wait_for(22s)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v19. Slow DDGS query doesn't cancel other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URL page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Per-request httpx(22s) + shared gather(30s)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Shared outer timeout still present. Fix: remove outer wrapper.</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LLM call</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asyncio.wait_for(60s)</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Already individual — no shared timeout.</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Architecture Health &amp; Paper-to-Live Readiness</w:t>
      </w:r>
    </w:p>
    <w:p>
      <w:pPr>
        <w:pStyle w:val="Heading2"/>
        <w:spacing w:before="280" w:after="100"/>
      </w:pPr>
      <w:r>
        <w:rPr>
          <w:rFonts w:ascii="Arial" w:cs="Arial" w:eastAsia="Arial" w:hAnsi="Arial"/>
          <w:b/>
          <w:bCs/>
          <w:color w:val="2E75B6"/>
          <w:sz w:val="28"/>
          <w:szCs w:val="28"/>
        </w:rPr>
        <w:t xml:space="preserve">System state after 21 reviews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pipeline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Singleton connectors, per-connector timeouts, 19 active connectors, category cooldowns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Forecasting</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v2 active, 74 base rate patterns, adaptive weights, evidence gating 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 stack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Metaculus, Manifold, PredictIt, sportsbook consensus, whale signals, order flow, TWAP divergence all in LLM prompt</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 sizing</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Fractional Kelly (0.25), category multipliers, time decay discount (full curve), preliminary VaR sizing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 checks, drawdown kill switch, category confidence overrides, correlation gate, VaR gate</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Execution</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Limit orders default, SmartEntry, TWAP edge, sportsbook dual-edge, ExitFinalizer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 wired and running. Needs 30+ resolved trades for meaningful retraining. AI Analyst needs 50+ trades.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CI, SQLite WAL, alert notifications, Telegram/Discord/Slack command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management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gating active, max_markets:5, daily budget gate enforced</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Paper-to-Live Trading Checklist</w:t>
      </w:r>
    </w:p>
    <w:p>
      <w:pPr>
        <w:spacing w:before="60" w:after="80"/>
      </w:pPr>
      <w:r>
        <w:rPr>
          <w:rFonts w:ascii="Arial" w:cs="Arial" w:eastAsia="Arial" w:hAnsi="Arial"/>
          <w:color w:val="333333"/>
          <w:sz w:val="22"/>
          <w:szCs w:val="22"/>
        </w:rPr>
        <w:t xml:space="preserve">These are the specific gates before advancing to live_week1 ($5 max stake, $100 bankroll). Verify each in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 with</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Paper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28 continuous days running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engine uptime in dashboard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Resolved trades</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markets resolved (price hit 0.98 or 0.02)</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SELECT COUNT(*) FROM closed_positions WHERE exit_price &gt;= 0.98 OR exit_price &lt;= 0.02</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Brier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0.25 on resolved trades (0.25 = coin-flip)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Calibration dashboard panel / AI Analyst output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Journal populated</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Trade journal has entries (not empty)</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Trade Journal tab</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(wired v17)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sustained drawdown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Drawdown &lt; 10% over last 7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Overview → Drawdown gauge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Ongoing</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in budget</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Bot running full days without hitting limit</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 panel in dashboard</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working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connector returning data (not 401)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Research panel → connector status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.env</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API working</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SportsOddsConnector returning data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Research panel</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.env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page content timeout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1 in this spec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source_fetcher.py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VaR fix</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VaR uses preliminary Kelly (v20 confirmed)</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Confirmed ✅</w:t>
            </w:r>
          </w:p>
        </w:tc>
        <w:tc>
          <w:tcPr>
            <w:tcW w:type="dxa" w:w="1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Issue Summary</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900"/>
        <w:gridCol w:w="2400"/>
        <w:gridCol w:w="28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content fetch uses 30s shared timeout — last remaining shared timeout in source_fetcher; slow pages cancel fast ones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source_fetcher.py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outer asyncio.wait_for wrapper from content gather — rely on per-request httpx(22s) timeout already in place</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daily_limit_usd: 15 borderline — may stop bot before midnight on high-activity days</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2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daily_limit_usd: 15.0 to 25.0</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What's left to do before live trading</w:t>
      </w:r>
    </w:p>
    <w:p>
      <w:pPr>
        <w:spacing w:before="60" w:after="80"/>
      </w:pPr>
      <w:r>
        <w:rPr>
          <w:rFonts w:ascii="Arial" w:cs="Arial" w:eastAsia="Arial" w:hAnsi="Arial"/>
          <w:color w:val="333333"/>
          <w:sz w:val="22"/>
          <w:szCs w:val="22"/>
        </w:rPr>
        <w:t xml:space="preserve">The code issues are small. The remaining gates are operational rather than technical: run the bot for 28 days, accumulate 30 resolved trades, verify calibration quality, and confirm the Kalshi and sports API keys are working. The architecture is production-ready.</w:t>
      </w:r>
    </w:p>
    <w:p>
      <w:pPr>
        <w:spacing w:before="60" w:after="60"/>
      </w:pPr>
      <w:r>
        <w:t xml:space="preserve"/>
      </w:r>
    </w:p>
    <w:p>
      <w:pPr>
        <w:spacing w:before="60" w:after="80"/>
      </w:pPr>
      <w:r>
        <w:rPr>
          <w:rFonts w:ascii="Arial" w:cs="Arial" w:eastAsia="Arial" w:hAnsi="Arial"/>
          <w:color w:val="333333"/>
          <w:sz w:val="22"/>
          <w:szCs w:val="22"/>
        </w:rPr>
        <w:t xml:space="preserve">After fixing Issue 1 (content timeout) and Issue 2 (budget), this codebase has no known active bottlenecks or correctness bugs. The focus shifts from code quality to paper trading performance review.</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v21  |  April 2026  |  3,436 tests passing  |  2 issues  |  Architecture: production-ready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v21  |  Commit 9098f3d  |  3,436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v21</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2026-04-08T19:33:54.114Z</dcterms:created>
  <dcterms:modified xsi:type="dcterms:W3CDTF">2026-04-08T19:33:54.115Z</dcterms:modified>
</cp:coreProperties>
</file>

<file path=docProps/custom.xml><?xml version="1.0" encoding="utf-8"?>
<Properties xmlns="http://schemas.openxmlformats.org/officeDocument/2006/custom-properties" xmlns:vt="http://schemas.openxmlformats.org/officeDocument/2006/docPropsVTypes"/>
</file>