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F7" w:rsidRPr="00D45A3D" w:rsidRDefault="008B2A38">
      <w:pPr>
        <w:pStyle w:val="Ttulo1"/>
        <w:rPr>
          <w:lang w:val="es-AR"/>
        </w:rPr>
      </w:pPr>
      <w:bookmarkStart w:id="0" w:name="matemática-superior-utn-frba"/>
      <w:r w:rsidRPr="00D45A3D">
        <w:rPr>
          <w:lang w:val="es-AR"/>
        </w:rPr>
        <w:t>Matemática Superior UTN FRBA</w:t>
      </w:r>
    </w:p>
    <w:p w:rsidR="004359F7" w:rsidRPr="00D45A3D" w:rsidRDefault="008B2A38">
      <w:pPr>
        <w:pStyle w:val="Ttulo1"/>
        <w:rPr>
          <w:lang w:val="es-AR"/>
        </w:rPr>
      </w:pPr>
      <w:bookmarkStart w:id="1" w:name="tp-2017-1c"/>
      <w:bookmarkEnd w:id="0"/>
      <w:r w:rsidRPr="00D45A3D">
        <w:rPr>
          <w:lang w:val="es-AR"/>
        </w:rPr>
        <w:t>TP 2017 1C:</w:t>
      </w:r>
    </w:p>
    <w:p w:rsidR="004359F7" w:rsidRPr="00D45A3D" w:rsidRDefault="008B2A38">
      <w:pPr>
        <w:pStyle w:val="Ttulo2"/>
        <w:rPr>
          <w:lang w:val="es-AR"/>
        </w:rPr>
      </w:pPr>
      <w:bookmarkStart w:id="2" w:name="a-s-i-c-análisis-de-sistemas-de-control"/>
      <w:bookmarkEnd w:id="1"/>
      <w:r w:rsidRPr="00D45A3D">
        <w:rPr>
          <w:lang w:val="es-AR"/>
        </w:rPr>
        <w:t>A S I C – Análisis de Sistemas de Control</w:t>
      </w:r>
    </w:p>
    <w:bookmarkEnd w:id="2"/>
    <w:p w:rsidR="004359F7" w:rsidRPr="00D45A3D" w:rsidRDefault="008B2A38">
      <w:pPr>
        <w:rPr>
          <w:lang w:val="es-AR"/>
        </w:rPr>
      </w:pPr>
      <w:r w:rsidRPr="00D45A3D">
        <w:rPr>
          <w:lang w:val="es-AR"/>
        </w:rPr>
        <w:t>El trabajo práctico consiste en el desarrollo de una aplicación (ASIC – Análisis de Sistemas de Control) que permita procesar y analizar sistemas de control a través de su función de transferencia característica. Dicha aplicación constará de una serie de distintos requisitos que deberá cumplir. El sistema tendrá como principal característica la posibilidad de recibir y ejecutar cualquier tipo de función transferencia, mostrando las diferentes particularidades o aquellas que el usuario indique.</w:t>
      </w:r>
    </w:p>
    <w:p w:rsidR="004359F7" w:rsidRDefault="008B2A38">
      <w:pPr>
        <w:pStyle w:val="Ttulo2"/>
      </w:pPr>
      <w:bookmarkStart w:id="3" w:name="integrantes"/>
      <w:proofErr w:type="spellStart"/>
      <w:r>
        <w:t>Integrantes</w:t>
      </w:r>
      <w:proofErr w:type="spellEnd"/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97"/>
        <w:gridCol w:w="1448"/>
        <w:gridCol w:w="1373"/>
        <w:gridCol w:w="3596"/>
        <w:gridCol w:w="980"/>
        <w:gridCol w:w="1622"/>
      </w:tblGrid>
      <w:tr w:rsidR="004359F7" w:rsidRPr="008B2A38" w:rsidTr="008B2A38">
        <w:tc>
          <w:tcPr>
            <w:tcW w:w="907" w:type="pct"/>
            <w:tcBorders>
              <w:bottom w:val="single" w:sz="0" w:space="0" w:color="auto"/>
            </w:tcBorders>
            <w:vAlign w:val="bottom"/>
          </w:tcPr>
          <w:bookmarkEnd w:id="3"/>
          <w:p w:rsidR="004359F7" w:rsidRPr="008B2A38" w:rsidRDefault="008B2A38">
            <w:pPr>
              <w:pStyle w:val="Compact"/>
            </w:pPr>
            <w:proofErr w:type="spellStart"/>
            <w:r w:rsidRPr="008B2A38">
              <w:t>Nombre</w:t>
            </w:r>
            <w:proofErr w:type="spellEnd"/>
          </w:p>
        </w:tc>
        <w:tc>
          <w:tcPr>
            <w:tcW w:w="657" w:type="pct"/>
            <w:tcBorders>
              <w:bottom w:val="single" w:sz="0" w:space="0" w:color="auto"/>
            </w:tcBorders>
            <w:vAlign w:val="bottom"/>
          </w:tcPr>
          <w:p w:rsidR="004359F7" w:rsidRPr="008B2A38" w:rsidRDefault="008B2A38">
            <w:pPr>
              <w:pStyle w:val="Compact"/>
            </w:pPr>
            <w:r w:rsidRPr="008B2A38">
              <w:t>Apellido</w:t>
            </w:r>
          </w:p>
        </w:tc>
        <w:tc>
          <w:tcPr>
            <w:tcW w:w="623" w:type="pct"/>
            <w:tcBorders>
              <w:bottom w:val="single" w:sz="0" w:space="0" w:color="auto"/>
            </w:tcBorders>
            <w:vAlign w:val="bottom"/>
          </w:tcPr>
          <w:p w:rsidR="004359F7" w:rsidRPr="008B2A38" w:rsidRDefault="008B2A38">
            <w:pPr>
              <w:pStyle w:val="Compact"/>
            </w:pPr>
            <w:r w:rsidRPr="008B2A38">
              <w:t>Legajo</w:t>
            </w:r>
          </w:p>
        </w:tc>
        <w:tc>
          <w:tcPr>
            <w:tcW w:w="1632" w:type="pct"/>
            <w:tcBorders>
              <w:bottom w:val="single" w:sz="0" w:space="0" w:color="auto"/>
            </w:tcBorders>
            <w:vAlign w:val="bottom"/>
          </w:tcPr>
          <w:p w:rsidR="004359F7" w:rsidRPr="008B2A38" w:rsidRDefault="008B2A38">
            <w:pPr>
              <w:pStyle w:val="Compact"/>
            </w:pPr>
            <w:r w:rsidRPr="008B2A38">
              <w:t>Email</w:t>
            </w:r>
          </w:p>
        </w:tc>
        <w:tc>
          <w:tcPr>
            <w:tcW w:w="445" w:type="pct"/>
            <w:tcBorders>
              <w:bottom w:val="single" w:sz="0" w:space="0" w:color="auto"/>
            </w:tcBorders>
            <w:vAlign w:val="bottom"/>
          </w:tcPr>
          <w:p w:rsidR="004359F7" w:rsidRPr="008B2A38" w:rsidRDefault="008B2A38">
            <w:pPr>
              <w:pStyle w:val="Compact"/>
            </w:pPr>
            <w:r w:rsidRPr="008B2A38">
              <w:t>Curso</w:t>
            </w:r>
          </w:p>
        </w:tc>
        <w:tc>
          <w:tcPr>
            <w:tcW w:w="736" w:type="pct"/>
            <w:tcBorders>
              <w:bottom w:val="single" w:sz="0" w:space="0" w:color="auto"/>
            </w:tcBorders>
            <w:vAlign w:val="bottom"/>
          </w:tcPr>
          <w:p w:rsidR="004359F7" w:rsidRPr="008B2A38" w:rsidRDefault="008B2A38" w:rsidP="008B2A38">
            <w:pPr>
              <w:pStyle w:val="Compact"/>
              <w:jc w:val="center"/>
            </w:pPr>
            <w:r w:rsidRPr="008B2A38">
              <w:t>Responsable</w:t>
            </w:r>
          </w:p>
        </w:tc>
      </w:tr>
      <w:tr w:rsidR="004359F7" w:rsidRPr="008B2A38" w:rsidTr="008B2A38">
        <w:tc>
          <w:tcPr>
            <w:tcW w:w="907" w:type="pct"/>
          </w:tcPr>
          <w:p w:rsidR="004359F7" w:rsidRPr="008B2A38" w:rsidRDefault="008B2A38">
            <w:pPr>
              <w:pStyle w:val="Compact"/>
            </w:pPr>
            <w:r w:rsidRPr="008B2A38">
              <w:t>Sebastián</w:t>
            </w:r>
          </w:p>
        </w:tc>
        <w:tc>
          <w:tcPr>
            <w:tcW w:w="657" w:type="pct"/>
          </w:tcPr>
          <w:p w:rsidR="004359F7" w:rsidRPr="008B2A38" w:rsidRDefault="008B2A38">
            <w:pPr>
              <w:pStyle w:val="Compact"/>
            </w:pPr>
            <w:r w:rsidRPr="008B2A38">
              <w:t>Plawner</w:t>
            </w:r>
          </w:p>
        </w:tc>
        <w:tc>
          <w:tcPr>
            <w:tcW w:w="623" w:type="pct"/>
          </w:tcPr>
          <w:p w:rsidR="004359F7" w:rsidRPr="008B2A38" w:rsidRDefault="008B2A38">
            <w:pPr>
              <w:pStyle w:val="Compact"/>
            </w:pPr>
            <w:r w:rsidRPr="008B2A38">
              <w:t>155.431-1</w:t>
            </w:r>
          </w:p>
        </w:tc>
        <w:tc>
          <w:tcPr>
            <w:tcW w:w="1632" w:type="pct"/>
          </w:tcPr>
          <w:p w:rsidR="004359F7" w:rsidRPr="008B2A38" w:rsidRDefault="008B2A38">
            <w:pPr>
              <w:pStyle w:val="Compact"/>
            </w:pPr>
            <w:r w:rsidRPr="008B2A38">
              <w:t>sebastian.plawner@gmail.com</w:t>
            </w:r>
          </w:p>
        </w:tc>
        <w:tc>
          <w:tcPr>
            <w:tcW w:w="445" w:type="pct"/>
          </w:tcPr>
          <w:p w:rsidR="004359F7" w:rsidRPr="008B2A38" w:rsidRDefault="008B2A38">
            <w:pPr>
              <w:pStyle w:val="Compact"/>
            </w:pPr>
            <w:r w:rsidRPr="008B2A38">
              <w:t>K3051</w:t>
            </w:r>
          </w:p>
        </w:tc>
        <w:tc>
          <w:tcPr>
            <w:tcW w:w="736" w:type="pct"/>
          </w:tcPr>
          <w:p w:rsidR="004359F7" w:rsidRPr="008B2A38" w:rsidRDefault="008B2A38" w:rsidP="008B2A38">
            <w:pPr>
              <w:pStyle w:val="Compact"/>
              <w:jc w:val="center"/>
            </w:pPr>
            <w:r w:rsidRPr="008B2A38">
              <w:t>✔</w:t>
            </w:r>
          </w:p>
        </w:tc>
      </w:tr>
      <w:tr w:rsidR="004359F7" w:rsidRPr="008B2A38" w:rsidTr="008B2A38">
        <w:tc>
          <w:tcPr>
            <w:tcW w:w="907" w:type="pct"/>
          </w:tcPr>
          <w:p w:rsidR="004359F7" w:rsidRPr="008B2A38" w:rsidRDefault="008B2A38">
            <w:pPr>
              <w:pStyle w:val="Compact"/>
            </w:pPr>
            <w:r w:rsidRPr="008B2A38">
              <w:t>Agustín</w:t>
            </w:r>
          </w:p>
        </w:tc>
        <w:tc>
          <w:tcPr>
            <w:tcW w:w="657" w:type="pct"/>
          </w:tcPr>
          <w:p w:rsidR="004359F7" w:rsidRPr="008B2A38" w:rsidRDefault="008B2A38">
            <w:pPr>
              <w:pStyle w:val="Compact"/>
            </w:pPr>
            <w:r w:rsidRPr="008B2A38">
              <w:t>Koszczej</w:t>
            </w:r>
          </w:p>
        </w:tc>
        <w:tc>
          <w:tcPr>
            <w:tcW w:w="623" w:type="pct"/>
          </w:tcPr>
          <w:p w:rsidR="004359F7" w:rsidRPr="008B2A38" w:rsidRDefault="008B2A38">
            <w:pPr>
              <w:pStyle w:val="Compact"/>
            </w:pPr>
            <w:r w:rsidRPr="008B2A38">
              <w:t>156.102-9</w:t>
            </w:r>
          </w:p>
        </w:tc>
        <w:tc>
          <w:tcPr>
            <w:tcW w:w="1632" w:type="pct"/>
          </w:tcPr>
          <w:p w:rsidR="004359F7" w:rsidRPr="008B2A38" w:rsidRDefault="008B2A38">
            <w:pPr>
              <w:pStyle w:val="Compact"/>
            </w:pPr>
            <w:r w:rsidRPr="008B2A38">
              <w:t>agustinkoszczej@hotmail.com</w:t>
            </w:r>
          </w:p>
        </w:tc>
        <w:tc>
          <w:tcPr>
            <w:tcW w:w="445" w:type="pct"/>
          </w:tcPr>
          <w:p w:rsidR="004359F7" w:rsidRPr="008B2A38" w:rsidRDefault="008B2A38">
            <w:pPr>
              <w:pStyle w:val="Compact"/>
            </w:pPr>
            <w:r w:rsidRPr="008B2A38">
              <w:t>K3051</w:t>
            </w:r>
          </w:p>
        </w:tc>
        <w:tc>
          <w:tcPr>
            <w:tcW w:w="736" w:type="pct"/>
          </w:tcPr>
          <w:p w:rsidR="004359F7" w:rsidRPr="008B2A38" w:rsidRDefault="004359F7" w:rsidP="008B2A38">
            <w:pPr>
              <w:jc w:val="center"/>
            </w:pPr>
          </w:p>
        </w:tc>
      </w:tr>
      <w:tr w:rsidR="004359F7" w:rsidRPr="008B2A38" w:rsidTr="008B2A38">
        <w:tc>
          <w:tcPr>
            <w:tcW w:w="907" w:type="pct"/>
          </w:tcPr>
          <w:p w:rsidR="004359F7" w:rsidRPr="008B2A38" w:rsidRDefault="008B2A38">
            <w:pPr>
              <w:pStyle w:val="Compact"/>
            </w:pPr>
            <w:r w:rsidRPr="008B2A38">
              <w:t>Nicolás</w:t>
            </w:r>
          </w:p>
        </w:tc>
        <w:tc>
          <w:tcPr>
            <w:tcW w:w="657" w:type="pct"/>
          </w:tcPr>
          <w:p w:rsidR="004359F7" w:rsidRPr="008B2A38" w:rsidRDefault="008B2A38">
            <w:pPr>
              <w:pStyle w:val="Compact"/>
            </w:pPr>
            <w:r w:rsidRPr="008B2A38">
              <w:t>Centeno</w:t>
            </w:r>
          </w:p>
        </w:tc>
        <w:tc>
          <w:tcPr>
            <w:tcW w:w="623" w:type="pct"/>
          </w:tcPr>
          <w:p w:rsidR="004359F7" w:rsidRPr="008B2A38" w:rsidRDefault="008B2A38">
            <w:pPr>
              <w:pStyle w:val="Compact"/>
            </w:pPr>
            <w:r w:rsidRPr="008B2A38">
              <w:t>155.878-0</w:t>
            </w:r>
          </w:p>
        </w:tc>
        <w:tc>
          <w:tcPr>
            <w:tcW w:w="1632" w:type="pct"/>
          </w:tcPr>
          <w:p w:rsidR="004359F7" w:rsidRPr="008B2A38" w:rsidRDefault="008B2A38">
            <w:pPr>
              <w:pStyle w:val="Compact"/>
            </w:pPr>
            <w:r w:rsidRPr="008B2A38">
              <w:t>centeno.nico@gmail.com</w:t>
            </w:r>
          </w:p>
        </w:tc>
        <w:tc>
          <w:tcPr>
            <w:tcW w:w="445" w:type="pct"/>
          </w:tcPr>
          <w:p w:rsidR="004359F7" w:rsidRPr="008B2A38" w:rsidRDefault="008B2A38">
            <w:pPr>
              <w:pStyle w:val="Compact"/>
            </w:pPr>
            <w:r w:rsidRPr="008B2A38">
              <w:t>K3012</w:t>
            </w:r>
          </w:p>
        </w:tc>
        <w:tc>
          <w:tcPr>
            <w:tcW w:w="736" w:type="pct"/>
          </w:tcPr>
          <w:p w:rsidR="004359F7" w:rsidRPr="008B2A38" w:rsidRDefault="004359F7" w:rsidP="008B2A38">
            <w:pPr>
              <w:jc w:val="center"/>
            </w:pPr>
          </w:p>
        </w:tc>
      </w:tr>
      <w:tr w:rsidR="004359F7" w:rsidRPr="008B2A38" w:rsidTr="008B2A38">
        <w:tc>
          <w:tcPr>
            <w:tcW w:w="907" w:type="pct"/>
          </w:tcPr>
          <w:p w:rsidR="004359F7" w:rsidRPr="008B2A38" w:rsidRDefault="008B2A38">
            <w:pPr>
              <w:pStyle w:val="Compact"/>
            </w:pPr>
            <w:r w:rsidRPr="008B2A38">
              <w:t>Bruno</w:t>
            </w:r>
          </w:p>
        </w:tc>
        <w:tc>
          <w:tcPr>
            <w:tcW w:w="657" w:type="pct"/>
          </w:tcPr>
          <w:p w:rsidR="004359F7" w:rsidRPr="008B2A38" w:rsidRDefault="008B2A38">
            <w:pPr>
              <w:pStyle w:val="Compact"/>
            </w:pPr>
            <w:r w:rsidRPr="008B2A38">
              <w:t>Manchione</w:t>
            </w:r>
          </w:p>
        </w:tc>
        <w:tc>
          <w:tcPr>
            <w:tcW w:w="623" w:type="pct"/>
          </w:tcPr>
          <w:p w:rsidR="004359F7" w:rsidRPr="008B2A38" w:rsidRDefault="008B2A38">
            <w:pPr>
              <w:pStyle w:val="Compact"/>
            </w:pPr>
            <w:r w:rsidRPr="008B2A38">
              <w:t>156.101-7</w:t>
            </w:r>
          </w:p>
        </w:tc>
        <w:tc>
          <w:tcPr>
            <w:tcW w:w="1632" w:type="pct"/>
          </w:tcPr>
          <w:p w:rsidR="004359F7" w:rsidRPr="008B2A38" w:rsidRDefault="008B2A38">
            <w:pPr>
              <w:pStyle w:val="Compact"/>
            </w:pPr>
            <w:r w:rsidRPr="008B2A38">
              <w:t>bmanchione@gmail.com</w:t>
            </w:r>
          </w:p>
        </w:tc>
        <w:tc>
          <w:tcPr>
            <w:tcW w:w="445" w:type="pct"/>
          </w:tcPr>
          <w:p w:rsidR="004359F7" w:rsidRPr="008B2A38" w:rsidRDefault="008B2A38">
            <w:pPr>
              <w:pStyle w:val="Compact"/>
            </w:pPr>
            <w:r w:rsidRPr="008B2A38">
              <w:t>K3052</w:t>
            </w:r>
          </w:p>
        </w:tc>
        <w:tc>
          <w:tcPr>
            <w:tcW w:w="736" w:type="pct"/>
          </w:tcPr>
          <w:p w:rsidR="004359F7" w:rsidRPr="008B2A38" w:rsidRDefault="004359F7" w:rsidP="008B2A38">
            <w:pPr>
              <w:jc w:val="center"/>
            </w:pPr>
          </w:p>
        </w:tc>
      </w:tr>
      <w:tr w:rsidR="004359F7" w:rsidRPr="008B2A38" w:rsidTr="008B2A38">
        <w:tc>
          <w:tcPr>
            <w:tcW w:w="907" w:type="pct"/>
          </w:tcPr>
          <w:p w:rsidR="004359F7" w:rsidRPr="008B2A38" w:rsidRDefault="008B2A38">
            <w:pPr>
              <w:pStyle w:val="Compact"/>
            </w:pPr>
            <w:r w:rsidRPr="008B2A38">
              <w:t>Ramón Eduardo</w:t>
            </w:r>
          </w:p>
        </w:tc>
        <w:tc>
          <w:tcPr>
            <w:tcW w:w="657" w:type="pct"/>
          </w:tcPr>
          <w:p w:rsidR="004359F7" w:rsidRPr="008B2A38" w:rsidRDefault="008B2A38">
            <w:pPr>
              <w:pStyle w:val="Compact"/>
            </w:pPr>
            <w:r w:rsidRPr="008B2A38">
              <w:t>Godoy</w:t>
            </w:r>
          </w:p>
        </w:tc>
        <w:tc>
          <w:tcPr>
            <w:tcW w:w="623" w:type="pct"/>
          </w:tcPr>
          <w:p w:rsidR="004359F7" w:rsidRPr="008B2A38" w:rsidRDefault="008B2A38">
            <w:pPr>
              <w:pStyle w:val="Compact"/>
            </w:pPr>
            <w:r w:rsidRPr="008B2A38">
              <w:t>115.369-9</w:t>
            </w:r>
          </w:p>
        </w:tc>
        <w:tc>
          <w:tcPr>
            <w:tcW w:w="1632" w:type="pct"/>
          </w:tcPr>
          <w:p w:rsidR="004359F7" w:rsidRPr="008B2A38" w:rsidRDefault="008B2A38">
            <w:pPr>
              <w:pStyle w:val="Compact"/>
            </w:pPr>
            <w:r w:rsidRPr="008B2A38">
              <w:t>correogeneral99@hotmail.com</w:t>
            </w:r>
          </w:p>
        </w:tc>
        <w:tc>
          <w:tcPr>
            <w:tcW w:w="445" w:type="pct"/>
          </w:tcPr>
          <w:p w:rsidR="004359F7" w:rsidRPr="008B2A38" w:rsidRDefault="008B2A38">
            <w:pPr>
              <w:pStyle w:val="Compact"/>
            </w:pPr>
            <w:r w:rsidRPr="008B2A38">
              <w:t>K3013</w:t>
            </w:r>
          </w:p>
        </w:tc>
        <w:tc>
          <w:tcPr>
            <w:tcW w:w="736" w:type="pct"/>
          </w:tcPr>
          <w:p w:rsidR="004359F7" w:rsidRPr="008B2A38" w:rsidRDefault="004359F7" w:rsidP="008B2A38">
            <w:pPr>
              <w:jc w:val="center"/>
            </w:pPr>
          </w:p>
        </w:tc>
      </w:tr>
    </w:tbl>
    <w:p w:rsidR="004359F7" w:rsidRDefault="008B2A38">
      <w:pPr>
        <w:pStyle w:val="Ttulo2"/>
      </w:pPr>
      <w:bookmarkStart w:id="4" w:name="requisitos-para-correr-los-programas"/>
      <w:r>
        <w:t>Requisitos para correr los programas</w:t>
      </w:r>
    </w:p>
    <w:bookmarkEnd w:id="4"/>
    <w:p w:rsidR="004359F7" w:rsidRPr="00143CEE" w:rsidRDefault="00143CEE">
      <w:pPr>
        <w:pStyle w:val="Compact"/>
        <w:numPr>
          <w:ilvl w:val="0"/>
          <w:numId w:val="2"/>
        </w:numPr>
        <w:rPr>
          <w:b/>
        </w:rPr>
      </w:pPr>
      <w:r>
        <w:rPr>
          <w:b/>
        </w:rPr>
        <w:t>Pararse</w:t>
      </w:r>
      <w:r w:rsidR="008B2A38" w:rsidRPr="00143CEE">
        <w:rPr>
          <w:b/>
        </w:rPr>
        <w:t xml:space="preserve"> en </w:t>
      </w:r>
      <w:r>
        <w:rPr>
          <w:b/>
        </w:rPr>
        <w:t>el path</w:t>
      </w:r>
    </w:p>
    <w:p w:rsidR="004359F7" w:rsidRPr="00143CEE" w:rsidRDefault="008B2A38" w:rsidP="008B2A38">
      <w:pPr>
        <w:numPr>
          <w:ilvl w:val="1"/>
          <w:numId w:val="2"/>
        </w:numPr>
        <w:rPr>
          <w:i/>
        </w:rPr>
      </w:pPr>
      <w:r w:rsidRPr="00143CEE">
        <w:rPr>
          <w:i/>
        </w:rPr>
        <w:t>cd C:-4.0.0</w:t>
      </w:r>
    </w:p>
    <w:p w:rsidR="004359F7" w:rsidRPr="00143CEE" w:rsidRDefault="008B2A38">
      <w:pPr>
        <w:pStyle w:val="Compact"/>
        <w:numPr>
          <w:ilvl w:val="0"/>
          <w:numId w:val="2"/>
        </w:numPr>
        <w:rPr>
          <w:b/>
        </w:rPr>
      </w:pPr>
      <w:r w:rsidRPr="00143CEE">
        <w:rPr>
          <w:b/>
        </w:rPr>
        <w:t>Instalar estos packages</w:t>
      </w:r>
    </w:p>
    <w:p w:rsidR="004359F7" w:rsidRPr="00143CEE" w:rsidRDefault="008B2A38" w:rsidP="008B2A38">
      <w:pPr>
        <w:pStyle w:val="Compact"/>
        <w:numPr>
          <w:ilvl w:val="1"/>
          <w:numId w:val="2"/>
        </w:numPr>
        <w:rPr>
          <w:i/>
        </w:rPr>
      </w:pPr>
      <w:r w:rsidRPr="00143CEE">
        <w:rPr>
          <w:i/>
        </w:rPr>
        <w:t>pkg install control-2.8.1.tar.gz</w:t>
      </w:r>
    </w:p>
    <w:p w:rsidR="004359F7" w:rsidRPr="00143CEE" w:rsidRDefault="008B2A38" w:rsidP="008B2A38">
      <w:pPr>
        <w:numPr>
          <w:ilvl w:val="1"/>
          <w:numId w:val="2"/>
        </w:numPr>
        <w:rPr>
          <w:i/>
        </w:rPr>
      </w:pPr>
      <w:r w:rsidRPr="00143CEE">
        <w:rPr>
          <w:i/>
        </w:rPr>
        <w:t>pkg install signal-1.3.2.tar.gz</w:t>
      </w:r>
    </w:p>
    <w:p w:rsidR="004359F7" w:rsidRPr="00143CEE" w:rsidRDefault="008B2A38">
      <w:pPr>
        <w:pStyle w:val="Compact"/>
        <w:numPr>
          <w:ilvl w:val="0"/>
          <w:numId w:val="2"/>
        </w:numPr>
        <w:rPr>
          <w:b/>
        </w:rPr>
      </w:pPr>
      <w:r w:rsidRPr="00143CEE">
        <w:rPr>
          <w:b/>
        </w:rPr>
        <w:t>Cargar los packages</w:t>
      </w:r>
    </w:p>
    <w:p w:rsidR="004359F7" w:rsidRPr="00143CEE" w:rsidRDefault="008B2A38" w:rsidP="008B2A38">
      <w:pPr>
        <w:pStyle w:val="Compact"/>
        <w:numPr>
          <w:ilvl w:val="1"/>
          <w:numId w:val="2"/>
        </w:numPr>
        <w:rPr>
          <w:i/>
        </w:rPr>
      </w:pPr>
      <w:r w:rsidRPr="00143CEE">
        <w:rPr>
          <w:i/>
        </w:rPr>
        <w:t>pkg load control</w:t>
      </w:r>
    </w:p>
    <w:p w:rsidR="004359F7" w:rsidRPr="00143CEE" w:rsidRDefault="008B2A38" w:rsidP="008B2A38">
      <w:pPr>
        <w:numPr>
          <w:ilvl w:val="1"/>
          <w:numId w:val="2"/>
        </w:numPr>
        <w:rPr>
          <w:i/>
        </w:rPr>
      </w:pPr>
      <w:r w:rsidRPr="00143CEE">
        <w:rPr>
          <w:i/>
        </w:rPr>
        <w:t>pkg load signal</w:t>
      </w:r>
    </w:p>
    <w:p w:rsidR="004359F7" w:rsidRPr="00143CEE" w:rsidRDefault="008B2A38">
      <w:pPr>
        <w:pStyle w:val="Compact"/>
        <w:numPr>
          <w:ilvl w:val="0"/>
          <w:numId w:val="2"/>
        </w:numPr>
        <w:rPr>
          <w:b/>
          <w:lang w:val="es-AR"/>
        </w:rPr>
      </w:pPr>
      <w:r w:rsidRPr="00143CEE">
        <w:rPr>
          <w:b/>
          <w:lang w:val="es-AR"/>
        </w:rPr>
        <w:t>Verificar que se hayan cargado bien los packages</w:t>
      </w:r>
    </w:p>
    <w:p w:rsidR="004359F7" w:rsidRPr="00143CEE" w:rsidRDefault="008B2A38" w:rsidP="008B2A38">
      <w:pPr>
        <w:numPr>
          <w:ilvl w:val="1"/>
          <w:numId w:val="2"/>
        </w:numPr>
        <w:rPr>
          <w:i/>
        </w:rPr>
      </w:pPr>
      <w:r w:rsidRPr="00143CEE">
        <w:rPr>
          <w:i/>
        </w:rPr>
        <w:t>pkg list</w:t>
      </w:r>
    </w:p>
    <w:p w:rsidR="004359F7" w:rsidRPr="00D45A3D" w:rsidRDefault="008B2A38" w:rsidP="00904343">
      <w:pPr>
        <w:pStyle w:val="Ttulo2"/>
        <w:jc w:val="center"/>
        <w:rPr>
          <w:lang w:val="es-AR"/>
        </w:rPr>
      </w:pPr>
      <w:bookmarkStart w:id="5" w:name="ejemplo-de-ingreso-de-la-siguiente-funci"/>
      <w:r w:rsidRPr="00D45A3D">
        <w:rPr>
          <w:lang w:val="es-AR"/>
        </w:rPr>
        <w:lastRenderedPageBreak/>
        <w:t>Ejemplo de ingreso de la siguiente Función Transferencia:</w:t>
      </w:r>
    </w:p>
    <w:bookmarkEnd w:id="5"/>
    <w:p w:rsidR="008B2A38" w:rsidRDefault="008B2A38" w:rsidP="00904343">
      <w:pPr>
        <w:pStyle w:val="ImageCaption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2381250" cy="10189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mploFuncionTransferenc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914" cy="102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F7" w:rsidRPr="00C32653" w:rsidRDefault="00006CF7" w:rsidP="00BA5456">
      <w:pPr>
        <w:pStyle w:val="Default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US"/>
        </w:rPr>
      </w:pPr>
      <w:r w:rsidRPr="00C32653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US"/>
        </w:rPr>
        <w:t>Menú de Ingreso</w:t>
      </w:r>
    </w:p>
    <w:p w:rsidR="008B2A38" w:rsidRPr="00D45A3D" w:rsidRDefault="000F2CA1" w:rsidP="008B2A38">
      <w:pPr>
        <w:numPr>
          <w:ilvl w:val="0"/>
          <w:numId w:val="3"/>
        </w:numPr>
        <w:rPr>
          <w:lang w:val="es-AR"/>
        </w:rPr>
      </w:pPr>
      <w:r>
        <w:rPr>
          <w:b/>
          <w:lang w:val="es-AR"/>
        </w:rPr>
        <w:t xml:space="preserve">1. </w:t>
      </w:r>
      <w:r w:rsidR="008B2A38" w:rsidRPr="00D45A3D">
        <w:rPr>
          <w:b/>
          <w:lang w:val="es-AR"/>
        </w:rPr>
        <w:t>Si se conocen los coeficientes del polinomio del numerador y denominador:</w:t>
      </w:r>
      <w:r w:rsidR="008B2A38" w:rsidRPr="00D45A3D">
        <w:rPr>
          <w:lang w:val="es-AR"/>
        </w:rPr>
        <w:t xml:space="preserve"> </w:t>
      </w:r>
      <w:r w:rsidR="008B2A38">
        <w:rPr>
          <w:b/>
          <w:noProof/>
          <w:lang w:val="es-AR" w:eastAsia="es-AR"/>
        </w:rPr>
        <w:drawing>
          <wp:inline distT="0" distB="0" distL="0" distR="0" wp14:anchorId="5DA95890" wp14:editId="44B782D9">
            <wp:extent cx="4732989" cy="2762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gres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874" cy="27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F7" w:rsidRPr="00D45A3D" w:rsidRDefault="000F2CA1" w:rsidP="008B2A38">
      <w:pPr>
        <w:numPr>
          <w:ilvl w:val="0"/>
          <w:numId w:val="3"/>
        </w:numPr>
        <w:rPr>
          <w:lang w:val="es-AR"/>
        </w:rPr>
      </w:pPr>
      <w:r>
        <w:rPr>
          <w:b/>
          <w:lang w:val="es-AR"/>
        </w:rPr>
        <w:t xml:space="preserve">2. </w:t>
      </w:r>
      <w:r w:rsidR="008B2A38" w:rsidRPr="00D45A3D">
        <w:rPr>
          <w:b/>
          <w:lang w:val="es-AR"/>
        </w:rPr>
        <w:t>Si se conocen sus polos, ceros y ganancia:</w:t>
      </w:r>
      <w:r w:rsidR="008B2A38" w:rsidRPr="00D45A3D">
        <w:rPr>
          <w:lang w:val="es-AR"/>
        </w:rPr>
        <w:t xml:space="preserve"> </w:t>
      </w:r>
    </w:p>
    <w:p w:rsidR="004359F7" w:rsidRPr="003B2755" w:rsidRDefault="008B2A38" w:rsidP="008B2A38">
      <w:pPr>
        <w:ind w:left="480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BC3C78E" wp14:editId="10CB593F">
            <wp:extent cx="4895850" cy="29559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gres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35" cy="29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3D" w:rsidRPr="00694808" w:rsidRDefault="00694808" w:rsidP="008B2A38">
      <w:pPr>
        <w:ind w:left="480"/>
        <w:rPr>
          <w:i/>
          <w:lang w:val="es-AR"/>
        </w:rPr>
      </w:pPr>
      <w:r w:rsidRPr="00694808">
        <w:rPr>
          <w:i/>
          <w:u w:val="single"/>
          <w:lang w:val="es-AR"/>
        </w:rPr>
        <w:t>Nota:</w:t>
      </w:r>
      <w:r w:rsidRPr="00694808">
        <w:rPr>
          <w:i/>
          <w:lang w:val="es-AR"/>
        </w:rPr>
        <w:t xml:space="preserve"> el ingreso va entre llaves [n1 </w:t>
      </w:r>
      <w:proofErr w:type="gramStart"/>
      <w:r w:rsidRPr="00694808">
        <w:rPr>
          <w:i/>
          <w:lang w:val="es-AR"/>
        </w:rPr>
        <w:t xml:space="preserve">n2 </w:t>
      </w:r>
      <w:r>
        <w:rPr>
          <w:i/>
          <w:lang w:val="es-AR"/>
        </w:rPr>
        <w:t>…</w:t>
      </w:r>
      <w:proofErr w:type="gramEnd"/>
      <w:r>
        <w:rPr>
          <w:i/>
          <w:lang w:val="es-AR"/>
        </w:rPr>
        <w:t xml:space="preserve"> n</w:t>
      </w:r>
      <w:r w:rsidRPr="00810CF2">
        <w:rPr>
          <w:i/>
          <w:vertAlign w:val="subscript"/>
          <w:lang w:val="es-AR"/>
        </w:rPr>
        <w:t>m</w:t>
      </w:r>
      <w:r w:rsidRPr="00694808">
        <w:rPr>
          <w:i/>
          <w:lang w:val="es-AR"/>
        </w:rPr>
        <w:t xml:space="preserve"> ]</w:t>
      </w:r>
      <w:r>
        <w:rPr>
          <w:i/>
          <w:lang w:val="es-AR"/>
        </w:rPr>
        <w:t xml:space="preserve"> y ordenados en caso de ingresar los numeradores/denominadores.</w:t>
      </w:r>
      <w:r w:rsidR="003833E5">
        <w:rPr>
          <w:i/>
          <w:lang w:val="es-AR"/>
        </w:rPr>
        <w:t xml:space="preserve"> En el ejemplo los numeradores son 10 y 5, siendo este último el de menor grado, por lo que debería ingresarse [10 5]. </w:t>
      </w:r>
      <w:r w:rsidR="00607613">
        <w:rPr>
          <w:i/>
          <w:lang w:val="es-AR"/>
        </w:rPr>
        <w:t>Ídem</w:t>
      </w:r>
      <w:r w:rsidR="003833E5">
        <w:rPr>
          <w:i/>
          <w:lang w:val="es-AR"/>
        </w:rPr>
        <w:t xml:space="preserve"> proceso para los den</w:t>
      </w:r>
      <w:bookmarkStart w:id="6" w:name="_GoBack"/>
      <w:bookmarkEnd w:id="6"/>
      <w:r w:rsidR="003833E5">
        <w:rPr>
          <w:i/>
          <w:lang w:val="es-AR"/>
        </w:rPr>
        <w:t>ominadores.</w:t>
      </w:r>
    </w:p>
    <w:p w:rsidR="003B2755" w:rsidRPr="00C32653" w:rsidRDefault="00006CF7" w:rsidP="00BA5456">
      <w:pPr>
        <w:pStyle w:val="Default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US"/>
        </w:rPr>
      </w:pPr>
      <w:r w:rsidRPr="00C32653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US"/>
        </w:rPr>
        <w:lastRenderedPageBreak/>
        <w:t xml:space="preserve">Menú de </w:t>
      </w:r>
      <w:r w:rsidR="009B418C" w:rsidRPr="00C32653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US"/>
        </w:rPr>
        <w:t>Opciones</w:t>
      </w:r>
    </w:p>
    <w:p w:rsidR="009B418C" w:rsidRDefault="009B418C" w:rsidP="003B2755">
      <w:pPr>
        <w:pStyle w:val="Default"/>
        <w:ind w:left="480"/>
      </w:pPr>
      <w:r>
        <w:rPr>
          <w:noProof/>
          <w:lang w:eastAsia="es-AR"/>
        </w:rPr>
        <w:drawing>
          <wp:inline distT="0" distB="0" distL="0" distR="0">
            <wp:extent cx="6858000" cy="1712499"/>
            <wp:effectExtent l="0" t="0" r="0" b="0"/>
            <wp:docPr id="25" name="Imagen 25" descr="C:\Users\Kochef\Desktop\Imagenes T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ochef\Desktop\Imagenes T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1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17" w:rsidRDefault="00791B17" w:rsidP="00791B17">
      <w:pPr>
        <w:pStyle w:val="Default"/>
        <w:spacing w:after="58"/>
        <w:ind w:left="480"/>
        <w:rPr>
          <w:rFonts w:asciiTheme="minorHAnsi" w:hAnsiTheme="minorHAnsi" w:cstheme="minorBidi"/>
          <w:b/>
          <w:color w:val="auto"/>
        </w:rPr>
      </w:pPr>
    </w:p>
    <w:p w:rsidR="003B2755" w:rsidRDefault="003B2755" w:rsidP="003B2755">
      <w:pPr>
        <w:pStyle w:val="Default"/>
        <w:numPr>
          <w:ilvl w:val="0"/>
          <w:numId w:val="3"/>
        </w:numPr>
        <w:spacing w:after="58"/>
        <w:rPr>
          <w:rFonts w:asciiTheme="minorHAnsi" w:hAnsiTheme="minorHAnsi" w:cstheme="minorBidi"/>
          <w:b/>
          <w:color w:val="auto"/>
        </w:rPr>
      </w:pPr>
      <w:r w:rsidRPr="003B2755">
        <w:rPr>
          <w:rFonts w:asciiTheme="minorHAnsi" w:hAnsiTheme="minorHAnsi" w:cstheme="minorBidi"/>
          <w:b/>
          <w:color w:val="auto"/>
        </w:rPr>
        <w:t xml:space="preserve">1. Obtener la expresión de la función transferencia. </w:t>
      </w:r>
    </w:p>
    <w:p w:rsidR="000F1104" w:rsidRPr="000F1104" w:rsidRDefault="000F1104" w:rsidP="000F1104">
      <w:pPr>
        <w:pStyle w:val="Default"/>
        <w:spacing w:after="58"/>
        <w:ind w:left="480"/>
        <w:rPr>
          <w:rFonts w:asciiTheme="minorHAnsi" w:hAnsiTheme="minorHAnsi" w:cstheme="minorBidi"/>
          <w:i/>
          <w:color w:val="auto"/>
          <w:sz w:val="22"/>
        </w:rPr>
      </w:pPr>
      <w:r>
        <w:rPr>
          <w:rFonts w:asciiTheme="minorHAnsi" w:hAnsiTheme="minorHAnsi" w:cstheme="minorBidi"/>
          <w:i/>
          <w:color w:val="auto"/>
          <w:sz w:val="22"/>
        </w:rPr>
        <w:t>Muestra la función transferencia que se ingresó, sin importar la forma de ingreso.  En el ejemplo:</w:t>
      </w:r>
    </w:p>
    <w:p w:rsidR="003B2755" w:rsidRPr="003B2755" w:rsidRDefault="009B418C" w:rsidP="000C62B7">
      <w:pPr>
        <w:pStyle w:val="Default"/>
        <w:spacing w:after="58"/>
        <w:ind w:left="480"/>
        <w:jc w:val="center"/>
        <w:rPr>
          <w:rFonts w:asciiTheme="minorHAnsi" w:hAnsiTheme="minorHAnsi" w:cstheme="minorBidi"/>
          <w:b/>
          <w:color w:val="auto"/>
        </w:rPr>
      </w:pPr>
      <w:r>
        <w:rPr>
          <w:rFonts w:asciiTheme="minorHAnsi" w:hAnsiTheme="minorHAnsi" w:cstheme="minorBidi"/>
          <w:b/>
          <w:noProof/>
          <w:color w:val="auto"/>
          <w:lang w:eastAsia="es-AR"/>
        </w:rPr>
        <w:drawing>
          <wp:inline distT="0" distB="0" distL="0" distR="0">
            <wp:extent cx="3086100" cy="1457325"/>
            <wp:effectExtent l="0" t="0" r="0" b="0"/>
            <wp:docPr id="15" name="Imagen 15" descr="C:\Users\Kochef\Desktop\Imagenes T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ochef\Desktop\Imagenes T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51"/>
                    <a:stretch/>
                  </pic:blipFill>
                  <pic:spPr bwMode="auto">
                    <a:xfrm>
                      <a:off x="0" y="0"/>
                      <a:ext cx="3086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104" w:rsidRDefault="003B2755" w:rsidP="003B2755">
      <w:pPr>
        <w:pStyle w:val="Default"/>
        <w:numPr>
          <w:ilvl w:val="0"/>
          <w:numId w:val="3"/>
        </w:numPr>
        <w:spacing w:after="58"/>
        <w:rPr>
          <w:rFonts w:asciiTheme="minorHAnsi" w:hAnsiTheme="minorHAnsi" w:cstheme="minorBidi"/>
          <w:b/>
          <w:color w:val="auto"/>
        </w:rPr>
      </w:pPr>
      <w:r w:rsidRPr="003B2755">
        <w:rPr>
          <w:rFonts w:asciiTheme="minorHAnsi" w:hAnsiTheme="minorHAnsi" w:cstheme="minorBidi"/>
          <w:b/>
          <w:color w:val="auto"/>
        </w:rPr>
        <w:t>2. Indicar Polos.</w:t>
      </w:r>
    </w:p>
    <w:p w:rsidR="003B2755" w:rsidRPr="000F1104" w:rsidRDefault="000F1104" w:rsidP="000F1104">
      <w:pPr>
        <w:pStyle w:val="Default"/>
        <w:spacing w:after="58"/>
        <w:ind w:left="480"/>
        <w:rPr>
          <w:rFonts w:asciiTheme="minorHAnsi" w:hAnsiTheme="minorHAnsi" w:cstheme="minorBidi"/>
          <w:i/>
          <w:color w:val="auto"/>
          <w:sz w:val="22"/>
        </w:rPr>
      </w:pPr>
      <w:r w:rsidRPr="000F1104">
        <w:rPr>
          <w:rFonts w:asciiTheme="minorHAnsi" w:hAnsiTheme="minorHAnsi" w:cstheme="minorBidi"/>
          <w:i/>
          <w:color w:val="auto"/>
          <w:sz w:val="22"/>
        </w:rPr>
        <w:t>Muestra los polos de la función transferencia, sin importar la forma de ingreso. En el ejemplo</w:t>
      </w:r>
      <w:r>
        <w:rPr>
          <w:rFonts w:asciiTheme="minorHAnsi" w:hAnsiTheme="minorHAnsi" w:cstheme="minorBidi"/>
          <w:i/>
          <w:color w:val="auto"/>
          <w:sz w:val="22"/>
        </w:rPr>
        <w:t xml:space="preserve"> (posee complejos conjugados)</w:t>
      </w:r>
      <w:r w:rsidRPr="000F1104">
        <w:rPr>
          <w:rFonts w:asciiTheme="minorHAnsi" w:hAnsiTheme="minorHAnsi" w:cstheme="minorBidi"/>
          <w:i/>
          <w:color w:val="auto"/>
          <w:sz w:val="22"/>
        </w:rPr>
        <w:t>:</w:t>
      </w:r>
    </w:p>
    <w:p w:rsidR="003B2755" w:rsidRPr="003B2755" w:rsidRDefault="009B418C" w:rsidP="000C62B7">
      <w:pPr>
        <w:pStyle w:val="Default"/>
        <w:spacing w:after="58"/>
        <w:ind w:left="480"/>
        <w:jc w:val="center"/>
        <w:rPr>
          <w:rFonts w:asciiTheme="minorHAnsi" w:hAnsiTheme="minorHAnsi" w:cstheme="minorBidi"/>
          <w:b/>
          <w:color w:val="auto"/>
        </w:rPr>
      </w:pPr>
      <w:r>
        <w:rPr>
          <w:rFonts w:asciiTheme="minorHAnsi" w:hAnsiTheme="minorHAnsi" w:cstheme="minorBidi"/>
          <w:b/>
          <w:noProof/>
          <w:color w:val="auto"/>
          <w:lang w:eastAsia="es-AR"/>
        </w:rPr>
        <w:drawing>
          <wp:inline distT="0" distB="0" distL="0" distR="0">
            <wp:extent cx="1895475" cy="876300"/>
            <wp:effectExtent l="0" t="0" r="0" b="0"/>
            <wp:docPr id="16" name="Imagen 16" descr="C:\Users\Kochef\Desktop\Imagenes T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chef\Desktop\Imagenes T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55" w:rsidRDefault="003B2755" w:rsidP="003B2755">
      <w:pPr>
        <w:pStyle w:val="Default"/>
        <w:numPr>
          <w:ilvl w:val="0"/>
          <w:numId w:val="3"/>
        </w:numPr>
        <w:spacing w:after="58"/>
        <w:rPr>
          <w:rFonts w:asciiTheme="minorHAnsi" w:hAnsiTheme="minorHAnsi" w:cstheme="minorBidi"/>
          <w:b/>
          <w:color w:val="auto"/>
        </w:rPr>
      </w:pPr>
      <w:r w:rsidRPr="003B2755">
        <w:rPr>
          <w:rFonts w:asciiTheme="minorHAnsi" w:hAnsiTheme="minorHAnsi" w:cstheme="minorBidi"/>
          <w:b/>
          <w:color w:val="auto"/>
        </w:rPr>
        <w:t xml:space="preserve">3. Indicar Ceros. </w:t>
      </w:r>
    </w:p>
    <w:p w:rsidR="000F1104" w:rsidRPr="000F1104" w:rsidRDefault="000F1104" w:rsidP="000F1104">
      <w:pPr>
        <w:pStyle w:val="Default"/>
        <w:spacing w:after="58"/>
        <w:ind w:left="480"/>
        <w:rPr>
          <w:rFonts w:asciiTheme="minorHAnsi" w:hAnsiTheme="minorHAnsi" w:cstheme="minorBidi"/>
          <w:i/>
          <w:color w:val="auto"/>
          <w:sz w:val="22"/>
        </w:rPr>
      </w:pPr>
      <w:r w:rsidRPr="000F1104">
        <w:rPr>
          <w:rFonts w:asciiTheme="minorHAnsi" w:hAnsiTheme="minorHAnsi" w:cstheme="minorBidi"/>
          <w:i/>
          <w:color w:val="auto"/>
          <w:sz w:val="22"/>
        </w:rPr>
        <w:t xml:space="preserve">Muestra los </w:t>
      </w:r>
      <w:r>
        <w:rPr>
          <w:rFonts w:asciiTheme="minorHAnsi" w:hAnsiTheme="minorHAnsi" w:cstheme="minorBidi"/>
          <w:i/>
          <w:color w:val="auto"/>
          <w:sz w:val="22"/>
        </w:rPr>
        <w:t>ceros</w:t>
      </w:r>
      <w:r w:rsidRPr="000F1104">
        <w:rPr>
          <w:rFonts w:asciiTheme="minorHAnsi" w:hAnsiTheme="minorHAnsi" w:cstheme="minorBidi"/>
          <w:i/>
          <w:color w:val="auto"/>
          <w:sz w:val="22"/>
        </w:rPr>
        <w:t xml:space="preserve"> de la función transferencia, sin importar la forma de ingreso. En el ejemplo:</w:t>
      </w:r>
    </w:p>
    <w:p w:rsidR="003B2755" w:rsidRPr="003B2755" w:rsidRDefault="009B418C" w:rsidP="000C62B7">
      <w:pPr>
        <w:pStyle w:val="Default"/>
        <w:spacing w:after="58"/>
        <w:ind w:left="480"/>
        <w:jc w:val="center"/>
        <w:rPr>
          <w:rFonts w:asciiTheme="minorHAnsi" w:hAnsiTheme="minorHAnsi" w:cstheme="minorBidi"/>
          <w:b/>
          <w:color w:val="auto"/>
        </w:rPr>
      </w:pPr>
      <w:r>
        <w:rPr>
          <w:rFonts w:asciiTheme="minorHAnsi" w:hAnsiTheme="minorHAnsi" w:cstheme="minorBidi"/>
          <w:b/>
          <w:noProof/>
          <w:color w:val="auto"/>
          <w:lang w:eastAsia="es-AR"/>
        </w:rPr>
        <w:drawing>
          <wp:inline distT="0" distB="0" distL="0" distR="0">
            <wp:extent cx="1952625" cy="476250"/>
            <wp:effectExtent l="0" t="0" r="0" b="0"/>
            <wp:docPr id="17" name="Imagen 17" descr="C:\Users\Kochef\Desktop\Imagenes T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ochef\Desktop\Imagenes T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77"/>
                    <a:stretch/>
                  </pic:blipFill>
                  <pic:spPr bwMode="auto"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755" w:rsidRDefault="003B2755" w:rsidP="003B2755">
      <w:pPr>
        <w:pStyle w:val="Default"/>
        <w:numPr>
          <w:ilvl w:val="0"/>
          <w:numId w:val="3"/>
        </w:numPr>
        <w:spacing w:after="58"/>
        <w:rPr>
          <w:rFonts w:asciiTheme="minorHAnsi" w:hAnsiTheme="minorHAnsi" w:cstheme="minorBidi"/>
          <w:b/>
          <w:color w:val="auto"/>
        </w:rPr>
      </w:pPr>
      <w:r w:rsidRPr="003B2755">
        <w:rPr>
          <w:rFonts w:asciiTheme="minorHAnsi" w:hAnsiTheme="minorHAnsi" w:cstheme="minorBidi"/>
          <w:b/>
          <w:color w:val="auto"/>
        </w:rPr>
        <w:t xml:space="preserve">4. Marcar ganancia de la función. </w:t>
      </w:r>
    </w:p>
    <w:p w:rsidR="000F1104" w:rsidRPr="000F1104" w:rsidRDefault="000F1104" w:rsidP="000F1104">
      <w:pPr>
        <w:pStyle w:val="Default"/>
        <w:spacing w:after="58"/>
        <w:ind w:left="480"/>
        <w:rPr>
          <w:rFonts w:asciiTheme="minorHAnsi" w:hAnsiTheme="minorHAnsi" w:cstheme="minorBidi"/>
          <w:i/>
          <w:color w:val="auto"/>
          <w:sz w:val="22"/>
        </w:rPr>
      </w:pPr>
      <w:r>
        <w:rPr>
          <w:rFonts w:asciiTheme="minorHAnsi" w:hAnsiTheme="minorHAnsi" w:cstheme="minorBidi"/>
          <w:i/>
          <w:color w:val="auto"/>
          <w:sz w:val="22"/>
        </w:rPr>
        <w:t>Muestra la</w:t>
      </w:r>
      <w:r w:rsidRPr="000F1104">
        <w:rPr>
          <w:rFonts w:asciiTheme="minorHAnsi" w:hAnsiTheme="minorHAnsi" w:cstheme="minorBidi"/>
          <w:i/>
          <w:color w:val="auto"/>
          <w:sz w:val="22"/>
        </w:rPr>
        <w:t xml:space="preserve"> </w:t>
      </w:r>
      <w:r>
        <w:rPr>
          <w:rFonts w:asciiTheme="minorHAnsi" w:hAnsiTheme="minorHAnsi" w:cstheme="minorBidi"/>
          <w:i/>
          <w:color w:val="auto"/>
          <w:sz w:val="22"/>
        </w:rPr>
        <w:t xml:space="preserve">ganancia ‘k’ </w:t>
      </w:r>
      <w:r w:rsidRPr="000F1104">
        <w:rPr>
          <w:rFonts w:asciiTheme="minorHAnsi" w:hAnsiTheme="minorHAnsi" w:cstheme="minorBidi"/>
          <w:i/>
          <w:color w:val="auto"/>
          <w:sz w:val="22"/>
        </w:rPr>
        <w:t>de la función transferencia, sin importar la forma de ingreso. En el ejemplo:</w:t>
      </w:r>
    </w:p>
    <w:p w:rsidR="003B2755" w:rsidRPr="003B2755" w:rsidRDefault="009B418C" w:rsidP="000C62B7">
      <w:pPr>
        <w:pStyle w:val="Default"/>
        <w:spacing w:after="58"/>
        <w:ind w:left="480"/>
        <w:jc w:val="center"/>
        <w:rPr>
          <w:rFonts w:asciiTheme="minorHAnsi" w:hAnsiTheme="minorHAnsi" w:cstheme="minorBidi"/>
          <w:b/>
          <w:color w:val="auto"/>
        </w:rPr>
      </w:pPr>
      <w:r>
        <w:rPr>
          <w:rFonts w:asciiTheme="minorHAnsi" w:hAnsiTheme="minorHAnsi" w:cstheme="minorBidi"/>
          <w:b/>
          <w:noProof/>
          <w:color w:val="auto"/>
          <w:lang w:eastAsia="es-AR"/>
        </w:rPr>
        <w:drawing>
          <wp:inline distT="0" distB="0" distL="0" distR="0">
            <wp:extent cx="2000250" cy="457200"/>
            <wp:effectExtent l="0" t="0" r="0" b="0"/>
            <wp:docPr id="18" name="Imagen 18" descr="C:\Users\Kochef\Desktop\Imagenes T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ochef\Desktop\Imagenes T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55" w:rsidRDefault="003B2755" w:rsidP="003B2755">
      <w:pPr>
        <w:pStyle w:val="Default"/>
        <w:numPr>
          <w:ilvl w:val="0"/>
          <w:numId w:val="3"/>
        </w:numPr>
        <w:spacing w:after="58"/>
        <w:rPr>
          <w:rFonts w:asciiTheme="minorHAnsi" w:hAnsiTheme="minorHAnsi" w:cstheme="minorBidi"/>
          <w:b/>
          <w:color w:val="auto"/>
        </w:rPr>
      </w:pPr>
      <w:r w:rsidRPr="003B2755">
        <w:rPr>
          <w:rFonts w:asciiTheme="minorHAnsi" w:hAnsiTheme="minorHAnsi" w:cstheme="minorBidi"/>
          <w:b/>
          <w:color w:val="auto"/>
        </w:rPr>
        <w:t xml:space="preserve">5. Obtener expresión con sus polos, ceros y ganancia. </w:t>
      </w:r>
    </w:p>
    <w:p w:rsidR="000F1104" w:rsidRPr="000F1104" w:rsidRDefault="000F1104" w:rsidP="000F1104">
      <w:pPr>
        <w:pStyle w:val="Default"/>
        <w:spacing w:after="58"/>
        <w:ind w:left="480"/>
        <w:rPr>
          <w:rFonts w:asciiTheme="minorHAnsi" w:hAnsiTheme="minorHAnsi" w:cstheme="minorBidi"/>
          <w:i/>
          <w:color w:val="auto"/>
          <w:sz w:val="22"/>
        </w:rPr>
      </w:pPr>
      <w:r w:rsidRPr="000F1104">
        <w:rPr>
          <w:rFonts w:asciiTheme="minorHAnsi" w:hAnsiTheme="minorHAnsi" w:cstheme="minorBidi"/>
          <w:i/>
          <w:color w:val="auto"/>
          <w:sz w:val="22"/>
        </w:rPr>
        <w:t>Muestra los</w:t>
      </w:r>
      <w:r>
        <w:rPr>
          <w:rFonts w:asciiTheme="minorHAnsi" w:hAnsiTheme="minorHAnsi" w:cstheme="minorBidi"/>
          <w:i/>
          <w:color w:val="auto"/>
          <w:sz w:val="22"/>
        </w:rPr>
        <w:t xml:space="preserve"> ceros, </w:t>
      </w:r>
      <w:r w:rsidRPr="000F1104">
        <w:rPr>
          <w:rFonts w:asciiTheme="minorHAnsi" w:hAnsiTheme="minorHAnsi" w:cstheme="minorBidi"/>
          <w:i/>
          <w:color w:val="auto"/>
          <w:sz w:val="22"/>
        </w:rPr>
        <w:t xml:space="preserve"> polos</w:t>
      </w:r>
      <w:r>
        <w:rPr>
          <w:rFonts w:asciiTheme="minorHAnsi" w:hAnsiTheme="minorHAnsi" w:cstheme="minorBidi"/>
          <w:i/>
          <w:color w:val="auto"/>
          <w:sz w:val="22"/>
        </w:rPr>
        <w:t xml:space="preserve"> y la ganancia ‘k’ </w:t>
      </w:r>
      <w:r w:rsidRPr="000F1104">
        <w:rPr>
          <w:rFonts w:asciiTheme="minorHAnsi" w:hAnsiTheme="minorHAnsi" w:cstheme="minorBidi"/>
          <w:i/>
          <w:color w:val="auto"/>
          <w:sz w:val="22"/>
        </w:rPr>
        <w:t xml:space="preserve"> de la función transferencia, sin importar la forma de ingreso. En el ejemplo:</w:t>
      </w:r>
    </w:p>
    <w:p w:rsidR="003B2755" w:rsidRPr="003B2755" w:rsidRDefault="009B418C" w:rsidP="000C62B7">
      <w:pPr>
        <w:pStyle w:val="Default"/>
        <w:spacing w:after="58"/>
        <w:ind w:left="480"/>
        <w:jc w:val="center"/>
        <w:rPr>
          <w:rFonts w:asciiTheme="minorHAnsi" w:hAnsiTheme="minorHAnsi" w:cstheme="minorBidi"/>
          <w:b/>
          <w:color w:val="auto"/>
        </w:rPr>
      </w:pPr>
      <w:r>
        <w:rPr>
          <w:rFonts w:asciiTheme="minorHAnsi" w:hAnsiTheme="minorHAnsi" w:cstheme="minorBidi"/>
          <w:b/>
          <w:noProof/>
          <w:color w:val="auto"/>
          <w:lang w:eastAsia="es-AR"/>
        </w:rPr>
        <w:lastRenderedPageBreak/>
        <w:drawing>
          <wp:inline distT="0" distB="0" distL="0" distR="0">
            <wp:extent cx="1952625" cy="1362075"/>
            <wp:effectExtent l="0" t="0" r="0" b="0"/>
            <wp:docPr id="19" name="Imagen 19" descr="C:\Users\Kochef\Desktop\Imagenes T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ochef\Desktop\Imagenes T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55" w:rsidRDefault="003B2755" w:rsidP="003B2755">
      <w:pPr>
        <w:pStyle w:val="Default"/>
        <w:numPr>
          <w:ilvl w:val="0"/>
          <w:numId w:val="3"/>
        </w:numPr>
        <w:spacing w:after="58"/>
        <w:rPr>
          <w:rFonts w:asciiTheme="minorHAnsi" w:hAnsiTheme="minorHAnsi" w:cstheme="minorBidi"/>
          <w:b/>
          <w:color w:val="auto"/>
        </w:rPr>
      </w:pPr>
      <w:r w:rsidRPr="003B2755">
        <w:rPr>
          <w:rFonts w:asciiTheme="minorHAnsi" w:hAnsiTheme="minorHAnsi" w:cstheme="minorBidi"/>
          <w:b/>
          <w:color w:val="auto"/>
        </w:rPr>
        <w:t xml:space="preserve">6. Mostrar gráficamente la distribución de polos y ceros. </w:t>
      </w:r>
    </w:p>
    <w:p w:rsidR="000F1104" w:rsidRPr="000F1104" w:rsidRDefault="000F1104" w:rsidP="000F1104">
      <w:pPr>
        <w:pStyle w:val="Default"/>
        <w:spacing w:after="58"/>
        <w:ind w:left="480"/>
        <w:rPr>
          <w:rFonts w:asciiTheme="minorHAnsi" w:hAnsiTheme="minorHAnsi" w:cstheme="minorBidi"/>
          <w:i/>
          <w:color w:val="auto"/>
          <w:sz w:val="22"/>
        </w:rPr>
      </w:pPr>
      <w:r w:rsidRPr="000F1104">
        <w:rPr>
          <w:rFonts w:asciiTheme="minorHAnsi" w:hAnsiTheme="minorHAnsi" w:cstheme="minorBidi"/>
          <w:i/>
          <w:color w:val="auto"/>
          <w:sz w:val="22"/>
        </w:rPr>
        <w:t xml:space="preserve">Muestra </w:t>
      </w:r>
      <w:r>
        <w:rPr>
          <w:rFonts w:asciiTheme="minorHAnsi" w:hAnsiTheme="minorHAnsi" w:cstheme="minorBidi"/>
          <w:i/>
          <w:color w:val="auto"/>
          <w:sz w:val="22"/>
        </w:rPr>
        <w:t xml:space="preserve">gráficamente </w:t>
      </w:r>
      <w:r w:rsidRPr="000F1104">
        <w:rPr>
          <w:rFonts w:asciiTheme="minorHAnsi" w:hAnsiTheme="minorHAnsi" w:cstheme="minorBidi"/>
          <w:i/>
          <w:color w:val="auto"/>
          <w:sz w:val="22"/>
        </w:rPr>
        <w:t>los po</w:t>
      </w:r>
      <w:r>
        <w:rPr>
          <w:rFonts w:asciiTheme="minorHAnsi" w:hAnsiTheme="minorHAnsi" w:cstheme="minorBidi"/>
          <w:i/>
          <w:color w:val="auto"/>
          <w:sz w:val="22"/>
        </w:rPr>
        <w:t>los (señalizados con una ‘x’) y los ceros (señalizados con un ‘o’)</w:t>
      </w:r>
      <w:r w:rsidRPr="000F1104">
        <w:rPr>
          <w:rFonts w:asciiTheme="minorHAnsi" w:hAnsiTheme="minorHAnsi" w:cstheme="minorBidi"/>
          <w:i/>
          <w:color w:val="auto"/>
          <w:sz w:val="22"/>
        </w:rPr>
        <w:t xml:space="preserve"> de la función transferencia, sin importar la forma de ingreso. En el ejemplo:</w:t>
      </w:r>
    </w:p>
    <w:p w:rsidR="003B2755" w:rsidRPr="003B2755" w:rsidRDefault="009B418C" w:rsidP="000C62B7">
      <w:pPr>
        <w:pStyle w:val="Default"/>
        <w:spacing w:after="58"/>
        <w:ind w:left="480"/>
        <w:jc w:val="center"/>
        <w:rPr>
          <w:rFonts w:asciiTheme="minorHAnsi" w:hAnsiTheme="minorHAnsi" w:cstheme="minorBidi"/>
          <w:b/>
          <w:color w:val="auto"/>
        </w:rPr>
      </w:pPr>
      <w:r>
        <w:rPr>
          <w:rFonts w:asciiTheme="minorHAnsi" w:hAnsiTheme="minorHAnsi" w:cstheme="minorBidi"/>
          <w:b/>
          <w:noProof/>
          <w:color w:val="auto"/>
          <w:lang w:eastAsia="es-AR"/>
        </w:rPr>
        <w:drawing>
          <wp:inline distT="0" distB="0" distL="0" distR="0">
            <wp:extent cx="5181600" cy="3905250"/>
            <wp:effectExtent l="0" t="0" r="0" b="0"/>
            <wp:docPr id="20" name="Imagen 20" descr="C:\Users\Kochef\Desktop\Imagenes T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ochef\Desktop\Imagenes TP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55" w:rsidRDefault="003B2755" w:rsidP="003B2755">
      <w:pPr>
        <w:pStyle w:val="Default"/>
        <w:numPr>
          <w:ilvl w:val="0"/>
          <w:numId w:val="3"/>
        </w:numPr>
        <w:spacing w:after="58"/>
        <w:rPr>
          <w:rFonts w:asciiTheme="minorHAnsi" w:hAnsiTheme="minorHAnsi" w:cstheme="minorBidi"/>
          <w:b/>
          <w:color w:val="auto"/>
        </w:rPr>
      </w:pPr>
      <w:r w:rsidRPr="003B2755">
        <w:rPr>
          <w:rFonts w:asciiTheme="minorHAnsi" w:hAnsiTheme="minorHAnsi" w:cstheme="minorBidi"/>
          <w:b/>
          <w:color w:val="auto"/>
        </w:rPr>
        <w:t xml:space="preserve">7. Indicar estabilidad del sistema. </w:t>
      </w:r>
    </w:p>
    <w:p w:rsidR="000F1104" w:rsidRPr="000F1104" w:rsidRDefault="000F1104" w:rsidP="000F1104">
      <w:pPr>
        <w:pStyle w:val="Default"/>
        <w:spacing w:after="58"/>
        <w:ind w:left="480"/>
        <w:rPr>
          <w:rFonts w:asciiTheme="minorHAnsi" w:hAnsiTheme="minorHAnsi" w:cstheme="minorBidi"/>
          <w:i/>
          <w:color w:val="auto"/>
          <w:sz w:val="22"/>
        </w:rPr>
      </w:pPr>
      <w:r w:rsidRPr="000F1104">
        <w:rPr>
          <w:rFonts w:asciiTheme="minorHAnsi" w:hAnsiTheme="minorHAnsi" w:cstheme="minorBidi"/>
          <w:i/>
          <w:color w:val="auto"/>
          <w:sz w:val="22"/>
        </w:rPr>
        <w:t xml:space="preserve">Muestra </w:t>
      </w:r>
      <w:r>
        <w:rPr>
          <w:rFonts w:asciiTheme="minorHAnsi" w:hAnsiTheme="minorHAnsi" w:cstheme="minorBidi"/>
          <w:i/>
          <w:color w:val="auto"/>
          <w:sz w:val="22"/>
        </w:rPr>
        <w:t xml:space="preserve">si </w:t>
      </w:r>
      <w:r w:rsidRPr="000F1104">
        <w:rPr>
          <w:rFonts w:asciiTheme="minorHAnsi" w:hAnsiTheme="minorHAnsi" w:cstheme="minorBidi"/>
          <w:i/>
          <w:color w:val="auto"/>
          <w:sz w:val="22"/>
        </w:rPr>
        <w:t>la función transferencia</w:t>
      </w:r>
      <w:r>
        <w:rPr>
          <w:rFonts w:asciiTheme="minorHAnsi" w:hAnsiTheme="minorHAnsi" w:cstheme="minorBidi"/>
          <w:i/>
          <w:color w:val="auto"/>
          <w:sz w:val="22"/>
        </w:rPr>
        <w:t xml:space="preserve"> es estable o inestable de acuerdo a sus polos</w:t>
      </w:r>
      <w:r w:rsidRPr="000F1104">
        <w:rPr>
          <w:rFonts w:asciiTheme="minorHAnsi" w:hAnsiTheme="minorHAnsi" w:cstheme="minorBidi"/>
          <w:i/>
          <w:color w:val="auto"/>
          <w:sz w:val="22"/>
        </w:rPr>
        <w:t>, sin importar la forma de ingreso. En el ejemplo:</w:t>
      </w:r>
    </w:p>
    <w:p w:rsidR="003B2755" w:rsidRPr="003B2755" w:rsidRDefault="009B418C" w:rsidP="000C62B7">
      <w:pPr>
        <w:pStyle w:val="Default"/>
        <w:spacing w:after="58"/>
        <w:ind w:left="480"/>
        <w:jc w:val="center"/>
        <w:rPr>
          <w:rFonts w:asciiTheme="minorHAnsi" w:hAnsiTheme="minorHAnsi" w:cstheme="minorBidi"/>
          <w:b/>
          <w:color w:val="auto"/>
        </w:rPr>
      </w:pPr>
      <w:r>
        <w:rPr>
          <w:rFonts w:asciiTheme="minorHAnsi" w:hAnsiTheme="minorHAnsi" w:cstheme="minorBidi"/>
          <w:b/>
          <w:noProof/>
          <w:color w:val="auto"/>
          <w:lang w:eastAsia="es-AR"/>
        </w:rPr>
        <w:drawing>
          <wp:inline distT="0" distB="0" distL="0" distR="0">
            <wp:extent cx="2019300" cy="1219200"/>
            <wp:effectExtent l="0" t="0" r="0" b="0"/>
            <wp:docPr id="21" name="Imagen 21" descr="C:\Users\Kochef\Desktop\Imagenes T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ochef\Desktop\Imagenes TP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55" w:rsidRDefault="003B2755" w:rsidP="003B2755">
      <w:pPr>
        <w:pStyle w:val="Default"/>
        <w:numPr>
          <w:ilvl w:val="0"/>
          <w:numId w:val="3"/>
        </w:numPr>
        <w:spacing w:after="58"/>
        <w:rPr>
          <w:rFonts w:asciiTheme="minorHAnsi" w:hAnsiTheme="minorHAnsi" w:cstheme="minorBidi"/>
          <w:b/>
          <w:color w:val="auto"/>
        </w:rPr>
      </w:pPr>
      <w:r w:rsidRPr="003B2755">
        <w:rPr>
          <w:rFonts w:asciiTheme="minorHAnsi" w:hAnsiTheme="minorHAnsi" w:cstheme="minorBidi"/>
          <w:b/>
          <w:color w:val="auto"/>
        </w:rPr>
        <w:t xml:space="preserve">8. Obtener todas las características de la función transferencia: Esta funcionalidad barre todos los puntos anteriores (1, 2, 3, 4, 5,6 y 7). </w:t>
      </w:r>
    </w:p>
    <w:p w:rsidR="000F1104" w:rsidRPr="000F1104" w:rsidRDefault="000F1104" w:rsidP="000F1104">
      <w:pPr>
        <w:pStyle w:val="Default"/>
        <w:spacing w:after="58"/>
        <w:ind w:left="480"/>
        <w:rPr>
          <w:rFonts w:asciiTheme="minorHAnsi" w:hAnsiTheme="minorHAnsi" w:cstheme="minorBidi"/>
          <w:i/>
          <w:color w:val="auto"/>
          <w:sz w:val="22"/>
        </w:rPr>
      </w:pPr>
      <w:r w:rsidRPr="000F1104">
        <w:rPr>
          <w:rFonts w:asciiTheme="minorHAnsi" w:hAnsiTheme="minorHAnsi" w:cstheme="minorBidi"/>
          <w:i/>
          <w:color w:val="auto"/>
          <w:sz w:val="22"/>
        </w:rPr>
        <w:t xml:space="preserve">Muestra </w:t>
      </w:r>
      <w:r>
        <w:rPr>
          <w:rFonts w:asciiTheme="minorHAnsi" w:hAnsiTheme="minorHAnsi" w:cstheme="minorBidi"/>
          <w:i/>
          <w:color w:val="auto"/>
          <w:sz w:val="22"/>
        </w:rPr>
        <w:t xml:space="preserve">todas las funciones anteriores </w:t>
      </w:r>
      <w:r w:rsidRPr="000F1104">
        <w:rPr>
          <w:rFonts w:asciiTheme="minorHAnsi" w:hAnsiTheme="minorHAnsi" w:cstheme="minorBidi"/>
          <w:i/>
          <w:color w:val="auto"/>
          <w:sz w:val="22"/>
        </w:rPr>
        <w:t>de la función transferencia, sin importar la forma de ingreso. En el ejemplo:</w:t>
      </w:r>
    </w:p>
    <w:p w:rsidR="003B2755" w:rsidRPr="003B2755" w:rsidRDefault="009B418C" w:rsidP="000C62B7">
      <w:pPr>
        <w:pStyle w:val="Default"/>
        <w:spacing w:after="58"/>
        <w:ind w:left="480"/>
        <w:jc w:val="center"/>
        <w:rPr>
          <w:rFonts w:asciiTheme="minorHAnsi" w:hAnsiTheme="minorHAnsi" w:cstheme="minorBidi"/>
          <w:b/>
          <w:color w:val="auto"/>
        </w:rPr>
      </w:pPr>
      <w:r>
        <w:rPr>
          <w:rFonts w:asciiTheme="minorHAnsi" w:hAnsiTheme="minorHAnsi" w:cstheme="minorBidi"/>
          <w:b/>
          <w:noProof/>
          <w:color w:val="auto"/>
          <w:lang w:eastAsia="es-AR"/>
        </w:rPr>
        <w:lastRenderedPageBreak/>
        <w:drawing>
          <wp:inline distT="0" distB="0" distL="0" distR="0">
            <wp:extent cx="5451809" cy="2762250"/>
            <wp:effectExtent l="0" t="0" r="0" b="0"/>
            <wp:docPr id="22" name="Imagen 22" descr="C:\Users\Kochef\Desktop\Imagenes T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ochef\Desktop\Imagenes TP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09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04" w:rsidRDefault="003B2755" w:rsidP="003B2755">
      <w:pPr>
        <w:pStyle w:val="Default"/>
        <w:numPr>
          <w:ilvl w:val="0"/>
          <w:numId w:val="3"/>
        </w:numPr>
        <w:spacing w:after="58"/>
        <w:rPr>
          <w:rFonts w:asciiTheme="minorHAnsi" w:hAnsiTheme="minorHAnsi" w:cstheme="minorBidi"/>
          <w:b/>
          <w:color w:val="auto"/>
        </w:rPr>
      </w:pPr>
      <w:r w:rsidRPr="003B2755">
        <w:rPr>
          <w:rFonts w:asciiTheme="minorHAnsi" w:hAnsiTheme="minorHAnsi" w:cstheme="minorBidi"/>
          <w:b/>
          <w:color w:val="auto"/>
        </w:rPr>
        <w:t>9. Ingresar una nueva función.</w:t>
      </w:r>
    </w:p>
    <w:p w:rsidR="003B2755" w:rsidRPr="000F1104" w:rsidRDefault="000F1104" w:rsidP="000F1104">
      <w:pPr>
        <w:pStyle w:val="Default"/>
        <w:spacing w:after="58"/>
        <w:ind w:left="480"/>
        <w:rPr>
          <w:rFonts w:asciiTheme="minorHAnsi" w:hAnsiTheme="minorHAnsi" w:cstheme="minorBidi"/>
          <w:i/>
          <w:color w:val="auto"/>
          <w:sz w:val="22"/>
        </w:rPr>
      </w:pPr>
      <w:r>
        <w:rPr>
          <w:rFonts w:asciiTheme="minorHAnsi" w:hAnsiTheme="minorHAnsi" w:cstheme="minorBidi"/>
          <w:i/>
          <w:color w:val="auto"/>
          <w:sz w:val="22"/>
        </w:rPr>
        <w:t>Retorna</w:t>
      </w:r>
      <w:r w:rsidRPr="000F1104">
        <w:rPr>
          <w:rFonts w:asciiTheme="minorHAnsi" w:hAnsiTheme="minorHAnsi" w:cstheme="minorBidi"/>
          <w:i/>
          <w:color w:val="auto"/>
          <w:sz w:val="22"/>
        </w:rPr>
        <w:t xml:space="preserve"> </w:t>
      </w:r>
      <w:r>
        <w:rPr>
          <w:rFonts w:asciiTheme="minorHAnsi" w:hAnsiTheme="minorHAnsi" w:cstheme="minorBidi"/>
          <w:i/>
          <w:color w:val="auto"/>
          <w:sz w:val="22"/>
        </w:rPr>
        <w:t xml:space="preserve">al Menú de Ingreso </w:t>
      </w:r>
      <w:r w:rsidRPr="000F1104">
        <w:rPr>
          <w:rFonts w:asciiTheme="minorHAnsi" w:hAnsiTheme="minorHAnsi" w:cstheme="minorBidi"/>
          <w:i/>
          <w:color w:val="auto"/>
          <w:sz w:val="22"/>
        </w:rPr>
        <w:t>de la función transferencia. En el ejemplo:</w:t>
      </w:r>
      <w:r w:rsidR="003B2755" w:rsidRPr="000F1104">
        <w:rPr>
          <w:rFonts w:asciiTheme="minorHAnsi" w:hAnsiTheme="minorHAnsi" w:cstheme="minorBidi"/>
          <w:b/>
          <w:color w:val="auto"/>
        </w:rPr>
        <w:t xml:space="preserve"> </w:t>
      </w:r>
    </w:p>
    <w:p w:rsidR="003B2755" w:rsidRPr="003B2755" w:rsidRDefault="009B418C" w:rsidP="000C62B7">
      <w:pPr>
        <w:pStyle w:val="Default"/>
        <w:spacing w:after="58"/>
        <w:ind w:left="480"/>
        <w:jc w:val="center"/>
        <w:rPr>
          <w:rFonts w:asciiTheme="minorHAnsi" w:hAnsiTheme="minorHAnsi" w:cstheme="minorBidi"/>
          <w:b/>
          <w:color w:val="auto"/>
        </w:rPr>
      </w:pPr>
      <w:r>
        <w:rPr>
          <w:b/>
          <w:noProof/>
          <w:lang w:eastAsia="es-AR"/>
        </w:rPr>
        <w:drawing>
          <wp:inline distT="0" distB="0" distL="0" distR="0" wp14:anchorId="53D52165" wp14:editId="326F03DF">
            <wp:extent cx="3219450" cy="4762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greso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14" b="85455"/>
                    <a:stretch/>
                  </pic:blipFill>
                  <pic:spPr bwMode="auto">
                    <a:xfrm>
                      <a:off x="0" y="0"/>
                      <a:ext cx="3220545" cy="47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755" w:rsidRPr="003B2755" w:rsidRDefault="003B2755" w:rsidP="003B2755">
      <w:pPr>
        <w:pStyle w:val="Default"/>
        <w:numPr>
          <w:ilvl w:val="0"/>
          <w:numId w:val="3"/>
        </w:numPr>
        <w:rPr>
          <w:rFonts w:asciiTheme="minorHAnsi" w:hAnsiTheme="minorHAnsi" w:cstheme="minorBidi"/>
          <w:b/>
          <w:color w:val="auto"/>
        </w:rPr>
      </w:pPr>
      <w:r w:rsidRPr="003B2755">
        <w:rPr>
          <w:rFonts w:asciiTheme="minorHAnsi" w:hAnsiTheme="minorHAnsi" w:cstheme="minorBidi"/>
          <w:b/>
          <w:color w:val="auto"/>
        </w:rPr>
        <w:t xml:space="preserve">10. Finalizar. </w:t>
      </w:r>
    </w:p>
    <w:p w:rsidR="000F1104" w:rsidRPr="000F1104" w:rsidRDefault="000F1104" w:rsidP="000F1104">
      <w:pPr>
        <w:pStyle w:val="Default"/>
        <w:spacing w:after="58"/>
        <w:ind w:left="480"/>
        <w:rPr>
          <w:rFonts w:asciiTheme="minorHAnsi" w:hAnsiTheme="minorHAnsi" w:cstheme="minorBidi"/>
          <w:i/>
          <w:color w:val="auto"/>
          <w:sz w:val="22"/>
        </w:rPr>
      </w:pPr>
      <w:r>
        <w:rPr>
          <w:rFonts w:asciiTheme="minorHAnsi" w:hAnsiTheme="minorHAnsi" w:cstheme="minorBidi"/>
          <w:i/>
          <w:color w:val="auto"/>
          <w:sz w:val="22"/>
        </w:rPr>
        <w:t>Finaliza la ejecución del programa.</w:t>
      </w:r>
    </w:p>
    <w:p w:rsidR="00732582" w:rsidRDefault="00732582" w:rsidP="008B2A38">
      <w:pPr>
        <w:ind w:left="480"/>
        <w:rPr>
          <w:b/>
          <w:lang w:val="es-AR"/>
        </w:rPr>
      </w:pPr>
    </w:p>
    <w:p w:rsidR="00732582" w:rsidRPr="00732582" w:rsidRDefault="00732582" w:rsidP="00732582">
      <w:pPr>
        <w:rPr>
          <w:lang w:val="es-AR"/>
        </w:rPr>
      </w:pPr>
    </w:p>
    <w:p w:rsidR="00732582" w:rsidRPr="00732582" w:rsidRDefault="00732582" w:rsidP="00732582">
      <w:pPr>
        <w:rPr>
          <w:lang w:val="es-AR"/>
        </w:rPr>
      </w:pPr>
    </w:p>
    <w:p w:rsidR="00732582" w:rsidRPr="00732582" w:rsidRDefault="00732582" w:rsidP="00732582">
      <w:pPr>
        <w:rPr>
          <w:lang w:val="es-AR"/>
        </w:rPr>
      </w:pPr>
    </w:p>
    <w:p w:rsidR="00732582" w:rsidRDefault="00732582" w:rsidP="00732582">
      <w:pPr>
        <w:rPr>
          <w:lang w:val="es-AR"/>
        </w:rPr>
      </w:pPr>
    </w:p>
    <w:p w:rsidR="003B2755" w:rsidRPr="00732582" w:rsidRDefault="003B2755" w:rsidP="00732582">
      <w:pPr>
        <w:jc w:val="center"/>
        <w:rPr>
          <w:lang w:val="es-AR"/>
        </w:rPr>
      </w:pPr>
    </w:p>
    <w:sectPr w:rsidR="003B2755" w:rsidRPr="00732582" w:rsidSect="008B2A38">
      <w:footerReference w:type="default" r:id="rId2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497" w:rsidRDefault="00992497" w:rsidP="00732582">
      <w:pPr>
        <w:spacing w:before="0" w:after="0"/>
      </w:pPr>
      <w:r>
        <w:separator/>
      </w:r>
    </w:p>
  </w:endnote>
  <w:endnote w:type="continuationSeparator" w:id="0">
    <w:p w:rsidR="00992497" w:rsidRDefault="00992497" w:rsidP="007325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164692"/>
      <w:docPartObj>
        <w:docPartGallery w:val="Page Numbers (Bottom of Page)"/>
        <w:docPartUnique/>
      </w:docPartObj>
    </w:sdtPr>
    <w:sdtEndPr>
      <w:rPr>
        <w:b/>
      </w:rPr>
    </w:sdtEndPr>
    <w:sdtContent>
      <w:p w:rsidR="00732582" w:rsidRPr="00732582" w:rsidRDefault="00732582">
        <w:pPr>
          <w:pStyle w:val="Piedepgina"/>
          <w:jc w:val="right"/>
          <w:rPr>
            <w:b/>
          </w:rPr>
        </w:pPr>
        <w:r w:rsidRPr="00732582">
          <w:rPr>
            <w:b/>
          </w:rPr>
          <w:fldChar w:fldCharType="begin"/>
        </w:r>
        <w:r w:rsidRPr="00732582">
          <w:rPr>
            <w:b/>
          </w:rPr>
          <w:instrText>PAGE   \* MERGEFORMAT</w:instrText>
        </w:r>
        <w:r w:rsidRPr="00732582">
          <w:rPr>
            <w:b/>
          </w:rPr>
          <w:fldChar w:fldCharType="separate"/>
        </w:r>
        <w:r w:rsidR="00810CF2" w:rsidRPr="00810CF2">
          <w:rPr>
            <w:b/>
            <w:noProof/>
            <w:lang w:val="es-ES"/>
          </w:rPr>
          <w:t>2</w:t>
        </w:r>
        <w:r w:rsidRPr="00732582">
          <w:rPr>
            <w:b/>
          </w:rPr>
          <w:fldChar w:fldCharType="end"/>
        </w:r>
      </w:p>
    </w:sdtContent>
  </w:sdt>
  <w:p w:rsidR="00732582" w:rsidRDefault="007325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497" w:rsidRDefault="00992497" w:rsidP="00732582">
      <w:pPr>
        <w:spacing w:before="0" w:after="0"/>
      </w:pPr>
      <w:r>
        <w:separator/>
      </w:r>
    </w:p>
  </w:footnote>
  <w:footnote w:type="continuationSeparator" w:id="0">
    <w:p w:rsidR="00992497" w:rsidRDefault="00992497" w:rsidP="0073258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C65582"/>
    <w:multiLevelType w:val="multilevel"/>
    <w:tmpl w:val="163EA8E8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4F9743D"/>
    <w:multiLevelType w:val="hybridMultilevel"/>
    <w:tmpl w:val="4F980220"/>
    <w:lvl w:ilvl="0" w:tplc="2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B815E2"/>
    <w:multiLevelType w:val="multilevel"/>
    <w:tmpl w:val="7DD6E2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6CF7"/>
    <w:rsid w:val="00011C8B"/>
    <w:rsid w:val="000C62B7"/>
    <w:rsid w:val="000F1104"/>
    <w:rsid w:val="000F2CA1"/>
    <w:rsid w:val="00143CEE"/>
    <w:rsid w:val="003833E5"/>
    <w:rsid w:val="003B2755"/>
    <w:rsid w:val="004359F7"/>
    <w:rsid w:val="004E29B3"/>
    <w:rsid w:val="00590D07"/>
    <w:rsid w:val="00607613"/>
    <w:rsid w:val="00694808"/>
    <w:rsid w:val="00732582"/>
    <w:rsid w:val="00784D58"/>
    <w:rsid w:val="00786858"/>
    <w:rsid w:val="00791B17"/>
    <w:rsid w:val="00810CF2"/>
    <w:rsid w:val="008B2A38"/>
    <w:rsid w:val="008D6863"/>
    <w:rsid w:val="00904343"/>
    <w:rsid w:val="00992497"/>
    <w:rsid w:val="009B418C"/>
    <w:rsid w:val="00A56C57"/>
    <w:rsid w:val="00B167F1"/>
    <w:rsid w:val="00B86B75"/>
    <w:rsid w:val="00BA5456"/>
    <w:rsid w:val="00BC48D5"/>
    <w:rsid w:val="00BD4C78"/>
    <w:rsid w:val="00C32653"/>
    <w:rsid w:val="00C36279"/>
    <w:rsid w:val="00D45A3D"/>
    <w:rsid w:val="00E315A3"/>
    <w:rsid w:val="00F260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er" w:uiPriority="99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/>
    <w:lsdException w:name="Subtitle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semiHidden/>
    <w:unhideWhenUsed/>
    <w:rsid w:val="00D45A3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45A3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B2755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s-AR"/>
    </w:rPr>
  </w:style>
  <w:style w:type="paragraph" w:styleId="Encabezado">
    <w:name w:val="header"/>
    <w:basedOn w:val="Normal"/>
    <w:link w:val="EncabezadoCar"/>
    <w:unhideWhenUsed/>
    <w:rsid w:val="00732582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732582"/>
  </w:style>
  <w:style w:type="paragraph" w:styleId="Piedepgina">
    <w:name w:val="footer"/>
    <w:basedOn w:val="Normal"/>
    <w:link w:val="PiedepginaCar"/>
    <w:uiPriority w:val="99"/>
    <w:unhideWhenUsed/>
    <w:rsid w:val="00732582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Agustin Koszczej</cp:lastModifiedBy>
  <cp:revision>22</cp:revision>
  <dcterms:created xsi:type="dcterms:W3CDTF">2017-05-31T01:05:00Z</dcterms:created>
  <dcterms:modified xsi:type="dcterms:W3CDTF">2017-06-07T22:53:00Z</dcterms:modified>
</cp:coreProperties>
</file>