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5C55" w14:textId="77777777" w:rsidR="008C0EC2" w:rsidRPr="00C44ABB" w:rsidRDefault="00000000">
      <w:pPr>
        <w:pStyle w:val="Title"/>
        <w:rPr>
          <w:lang w:val="es-ES"/>
        </w:rPr>
      </w:pPr>
      <w:r w:rsidRPr="00C44ABB">
        <w:rPr>
          <w:lang w:val="es-ES"/>
        </w:rPr>
        <w:t>Expediente completo — descubrimiento de un clado de cisteína desulfurasas tipo SCLY en algas</w:t>
      </w:r>
    </w:p>
    <w:p w14:paraId="7D8F4AA4" w14:textId="72529DEF" w:rsidR="008C0EC2" w:rsidRPr="00C44ABB" w:rsidRDefault="00000000">
      <w:pPr>
        <w:rPr>
          <w:lang w:val="es-ES"/>
        </w:rPr>
      </w:pPr>
      <w:r w:rsidRPr="00C44ABB">
        <w:rPr>
          <w:lang w:val="es-ES"/>
        </w:rPr>
        <w:t>Documento interno de trabajo. No es un manuscrito: es el expediente con todo lo que se hizo, por qué se eligió cada herramienta, qué dio cada paso, qué se descartó y por qué.</w:t>
      </w:r>
    </w:p>
    <w:p w14:paraId="7D2F7F4B" w14:textId="77777777" w:rsidR="008C0EC2" w:rsidRPr="00C44ABB" w:rsidRDefault="00000000">
      <w:pPr>
        <w:pStyle w:val="Heading1"/>
        <w:rPr>
          <w:lang w:val="es-ES"/>
        </w:rPr>
      </w:pPr>
      <w:r w:rsidRPr="00C44ABB">
        <w:rPr>
          <w:lang w:val="es-ES"/>
        </w:rPr>
        <w:t>0. Cómo leer este documento</w:t>
      </w:r>
    </w:p>
    <w:p w14:paraId="22335B0E" w14:textId="77777777" w:rsidR="008C0EC2" w:rsidRPr="00C44ABB" w:rsidRDefault="00000000">
      <w:pPr>
        <w:rPr>
          <w:lang w:val="es-ES"/>
        </w:rPr>
      </w:pPr>
      <w:r w:rsidRPr="00C44ABB">
        <w:rPr>
          <w:lang w:val="es-ES"/>
        </w:rPr>
        <w:t xml:space="preserve">Está ordenado </w:t>
      </w:r>
      <w:r w:rsidRPr="00C44ABB">
        <w:rPr>
          <w:b/>
          <w:lang w:val="es-ES"/>
        </w:rPr>
        <w:t>por el orden en que pasaron las cosas</w:t>
      </w:r>
      <w:r w:rsidRPr="00C44ABB">
        <w:rPr>
          <w:lang w:val="es-ES"/>
        </w:rPr>
        <w:t>, no por el orden en que irían en un paper. Eso es deliberado: la parte más valiosa del proyecto es justamente que una hipótesis inicial equivocada se detectó, se corrigió y la corrección resultó ser el hallazgo.</w:t>
      </w:r>
    </w:p>
    <w:p w14:paraId="2738F6D6" w14:textId="77777777" w:rsidR="008C0EC2" w:rsidRDefault="00000000">
      <w:r>
        <w:t>Cada sección trae:</w:t>
      </w:r>
    </w:p>
    <w:p w14:paraId="4F6245E9" w14:textId="77777777" w:rsidR="008C0EC2" w:rsidRPr="00C44ABB" w:rsidRDefault="00000000">
      <w:pPr>
        <w:pStyle w:val="ListBullet"/>
        <w:rPr>
          <w:lang w:val="es-ES"/>
        </w:rPr>
      </w:pPr>
      <w:r w:rsidRPr="00C44ABB">
        <w:rPr>
          <w:b/>
          <w:lang w:val="es-ES"/>
        </w:rPr>
        <w:t>Qué se hizo</w:t>
      </w:r>
      <w:r w:rsidRPr="00C44ABB">
        <w:rPr>
          <w:lang w:val="es-ES"/>
        </w:rPr>
        <w:t xml:space="preserve"> y con qué herramienta.</w:t>
      </w:r>
    </w:p>
    <w:p w14:paraId="0820D124" w14:textId="77777777" w:rsidR="008C0EC2" w:rsidRPr="00C44ABB" w:rsidRDefault="00000000">
      <w:pPr>
        <w:pStyle w:val="ListBullet"/>
        <w:rPr>
          <w:lang w:val="es-ES"/>
        </w:rPr>
      </w:pPr>
      <w:r w:rsidRPr="00C44ABB">
        <w:rPr>
          <w:b/>
          <w:lang w:val="es-ES"/>
        </w:rPr>
        <w:t>Por qué esa herramienta</w:t>
      </w:r>
      <w:r w:rsidRPr="00C44ABB">
        <w:rPr>
          <w:lang w:val="es-ES"/>
        </w:rPr>
        <w:t xml:space="preserve"> y no otra.</w:t>
      </w:r>
    </w:p>
    <w:p w14:paraId="6E040F38" w14:textId="77777777" w:rsidR="008C0EC2" w:rsidRPr="00C44ABB" w:rsidRDefault="00000000">
      <w:pPr>
        <w:pStyle w:val="ListBullet"/>
        <w:rPr>
          <w:lang w:val="es-ES"/>
        </w:rPr>
      </w:pPr>
      <w:r w:rsidRPr="00C44ABB">
        <w:rPr>
          <w:b/>
          <w:lang w:val="es-ES"/>
        </w:rPr>
        <w:t>Qué dio</w:t>
      </w:r>
      <w:r w:rsidRPr="00C44ABB">
        <w:rPr>
          <w:lang w:val="es-ES"/>
        </w:rPr>
        <w:t xml:space="preserve"> — con los números exactos.</w:t>
      </w:r>
    </w:p>
    <w:p w14:paraId="2CC8B994" w14:textId="77777777" w:rsidR="008C0EC2" w:rsidRPr="00C44ABB" w:rsidRDefault="00000000">
      <w:pPr>
        <w:pStyle w:val="ListBullet"/>
        <w:rPr>
          <w:lang w:val="es-ES"/>
        </w:rPr>
      </w:pPr>
      <w:r w:rsidRPr="00C44ABB">
        <w:rPr>
          <w:b/>
          <w:lang w:val="es-ES"/>
        </w:rPr>
        <w:t>Qué no prueba</w:t>
      </w:r>
      <w:r w:rsidRPr="00C44ABB">
        <w:rPr>
          <w:lang w:val="es-ES"/>
        </w:rPr>
        <w:t xml:space="preserve"> — la limitación, explícita.</w:t>
      </w:r>
    </w:p>
    <w:p w14:paraId="2B841B57" w14:textId="77777777" w:rsidR="008C0EC2" w:rsidRPr="00C44ABB" w:rsidRDefault="00000000">
      <w:pPr>
        <w:rPr>
          <w:lang w:val="es-ES"/>
        </w:rPr>
      </w:pPr>
      <w:r w:rsidRPr="00C44ABB">
        <w:rPr>
          <w:lang w:val="es-ES"/>
        </w:rPr>
        <w:t xml:space="preserve">Las secciones marcadas con ⚠ contienen material que </w:t>
      </w:r>
      <w:r w:rsidRPr="00C44ABB">
        <w:rPr>
          <w:b/>
          <w:lang w:val="es-ES"/>
        </w:rPr>
        <w:t>se descartó</w:t>
      </w:r>
      <w:r w:rsidRPr="00C44ABB">
        <w:rPr>
          <w:lang w:val="es-ES"/>
        </w:rPr>
        <w:t>. Están incluidas a propósito: un director o un revisor va a preguntar qué pasó con ellas.</w:t>
      </w:r>
    </w:p>
    <w:p w14:paraId="1DEBEA1F" w14:textId="357AD870" w:rsidR="008C0EC2" w:rsidRPr="00C44ABB" w:rsidRDefault="00000000">
      <w:pPr>
        <w:rPr>
          <w:lang w:val="es-ES"/>
        </w:rPr>
      </w:pPr>
      <w:r w:rsidRPr="00C44ABB">
        <w:rPr>
          <w:lang w:val="es-ES"/>
        </w:rPr>
        <w:t>Al final: lo que falta para blindar la publicación (§8) y las opciones de paper (§9).</w:t>
      </w:r>
    </w:p>
    <w:p w14:paraId="7E816898" w14:textId="77777777" w:rsidR="008C0EC2" w:rsidRPr="00C44ABB" w:rsidRDefault="00000000">
      <w:pPr>
        <w:pStyle w:val="Heading1"/>
        <w:rPr>
          <w:lang w:val="es-ES"/>
        </w:rPr>
      </w:pPr>
      <w:r w:rsidRPr="00C44ABB">
        <w:rPr>
          <w:lang w:val="es-ES"/>
        </w:rPr>
        <w:t>1. Resumen ejecutivo</w:t>
      </w:r>
    </w:p>
    <w:p w14:paraId="45969E68" w14:textId="77777777" w:rsidR="008C0EC2" w:rsidRPr="00C44ABB" w:rsidRDefault="00000000">
      <w:pPr>
        <w:rPr>
          <w:lang w:val="es-ES"/>
        </w:rPr>
      </w:pPr>
      <w:r w:rsidRPr="00C44ABB">
        <w:rPr>
          <w:lang w:val="es-ES"/>
        </w:rPr>
        <w:t xml:space="preserve">En el genoma de </w:t>
      </w:r>
      <w:r w:rsidRPr="00C44ABB">
        <w:rPr>
          <w:i/>
          <w:lang w:val="es-ES"/>
        </w:rPr>
        <w:t>Scenedesmus</w:t>
      </w:r>
      <w:r w:rsidRPr="00C44ABB">
        <w:rPr>
          <w:lang w:val="es-ES"/>
        </w:rPr>
        <w:t xml:space="preserve"> sp. PABB004 se buscaba una segunda cisteína desulfurasa plastidial (NFS2). Lo que se encontró fue otra cosa, y mejor.</w:t>
      </w:r>
    </w:p>
    <w:p w14:paraId="3E47DA1E" w14:textId="77777777" w:rsidR="008C0EC2" w:rsidRPr="00C44ABB" w:rsidRDefault="00000000">
      <w:pPr>
        <w:pStyle w:val="ListNumber"/>
        <w:rPr>
          <w:lang w:val="es-ES"/>
        </w:rPr>
      </w:pPr>
      <w:r w:rsidRPr="00C44ABB">
        <w:rPr>
          <w:lang w:val="es-ES"/>
        </w:rPr>
        <w:t>El cebo que se había usado para buscar NFS2 —</w:t>
      </w:r>
      <w:r w:rsidRPr="00C44ABB">
        <w:rPr>
          <w:rFonts w:ascii="Consolas" w:hAnsi="Consolas"/>
          <w:sz w:val="18"/>
          <w:lang w:val="es-ES"/>
        </w:rPr>
        <w:t>PNW80545.1</w:t>
      </w:r>
      <w:r w:rsidRPr="00C44ABB">
        <w:rPr>
          <w:lang w:val="es-ES"/>
        </w:rPr>
        <w:t xml:space="preserve"> de </w:t>
      </w:r>
      <w:r w:rsidRPr="00C44ABB">
        <w:rPr>
          <w:i/>
          <w:lang w:val="es-ES"/>
        </w:rPr>
        <w:t>Chlamydomonas reinhardtii</w:t>
      </w:r>
      <w:r w:rsidRPr="00C44ABB">
        <w:rPr>
          <w:lang w:val="es-ES"/>
        </w:rPr>
        <w:t xml:space="preserve">, anotado como "NFS2" en AlgaePath— </w:t>
      </w:r>
      <w:r w:rsidRPr="00C44ABB">
        <w:rPr>
          <w:b/>
          <w:lang w:val="es-ES"/>
        </w:rPr>
        <w:t>no es NFS2</w:t>
      </w:r>
      <w:r w:rsidRPr="00C44ABB">
        <w:rPr>
          <w:lang w:val="es-ES"/>
        </w:rPr>
        <w:t>. Es el miembro de un tercer grupo de aminotransferasas clase V, distinto de NFS1 (ISC, mitocondrial) y de NFS2 (SUF, plastidial).</w:t>
      </w:r>
    </w:p>
    <w:p w14:paraId="65877EAC" w14:textId="77777777" w:rsidR="008C0EC2" w:rsidRDefault="00000000">
      <w:pPr>
        <w:pStyle w:val="ListNumber"/>
      </w:pPr>
      <w:r w:rsidRPr="00C44ABB">
        <w:rPr>
          <w:lang w:val="es-ES"/>
        </w:rPr>
        <w:t xml:space="preserve">Ese tercer grupo es homólogo de la </w:t>
      </w:r>
      <w:r w:rsidRPr="00C44ABB">
        <w:rPr>
          <w:b/>
          <w:lang w:val="es-ES"/>
        </w:rPr>
        <w:t>selenocisteína liasa (SCLY)</w:t>
      </w:r>
      <w:r w:rsidRPr="00C44ABB">
        <w:rPr>
          <w:lang w:val="es-ES"/>
        </w:rPr>
        <w:t xml:space="preserve"> animal. Se lo identifica por un rasgo de una sola posición: en el bucle catalítico, inmediatamente después de la cisteína del sitio activo hay una </w:t>
      </w:r>
      <w:r w:rsidRPr="00C44ABB">
        <w:rPr>
          <w:b/>
          <w:lang w:val="es-ES"/>
        </w:rPr>
        <w:t>histidina</w:t>
      </w:r>
      <w:r w:rsidRPr="00C44ABB">
        <w:rPr>
          <w:lang w:val="es-ES"/>
        </w:rPr>
        <w:t xml:space="preserve"> (</w:t>
      </w:r>
      <w:r w:rsidRPr="00C44ABB">
        <w:rPr>
          <w:rFonts w:ascii="Consolas" w:hAnsi="Consolas"/>
          <w:sz w:val="18"/>
          <w:lang w:val="es-ES"/>
        </w:rPr>
        <w:t>SAGxACH</w:t>
      </w:r>
      <w:r w:rsidRPr="00C44ABB">
        <w:rPr>
          <w:lang w:val="es-ES"/>
        </w:rPr>
        <w:t xml:space="preserve">). </w:t>
      </w:r>
      <w:r>
        <w:t>NFS1 lleva ahí serina/treonina; NFS2 lleva serina.</w:t>
      </w:r>
    </w:p>
    <w:p w14:paraId="1A137B28" w14:textId="77777777" w:rsidR="008C0EC2" w:rsidRPr="00C44ABB" w:rsidRDefault="00000000">
      <w:pPr>
        <w:pStyle w:val="ListNumber"/>
        <w:rPr>
          <w:lang w:val="es-ES"/>
        </w:rPr>
      </w:pPr>
      <w:r w:rsidRPr="00C44ABB">
        <w:rPr>
          <w:i/>
          <w:lang w:val="es-ES"/>
        </w:rPr>
        <w:t>Scenedesmus</w:t>
      </w:r>
      <w:r w:rsidRPr="00C44ABB">
        <w:rPr>
          <w:lang w:val="es-ES"/>
        </w:rPr>
        <w:t xml:space="preserve"> sp. PABB004 tiene </w:t>
      </w:r>
      <w:r w:rsidRPr="00C44ABB">
        <w:rPr>
          <w:b/>
          <w:lang w:val="es-ES"/>
        </w:rPr>
        <w:t>los tres genes</w:t>
      </w:r>
      <w:r w:rsidRPr="00C44ABB">
        <w:rPr>
          <w:lang w:val="es-ES"/>
        </w:rPr>
        <w:t>: NFS1 (</w:t>
      </w:r>
      <w:r w:rsidRPr="00C44ABB">
        <w:rPr>
          <w:rFonts w:ascii="Consolas" w:hAnsi="Consolas"/>
          <w:sz w:val="18"/>
          <w:lang w:val="es-ES"/>
        </w:rPr>
        <w:t>KAF8057853.1</w:t>
      </w:r>
      <w:r w:rsidRPr="00C44ABB">
        <w:rPr>
          <w:lang w:val="es-ES"/>
        </w:rPr>
        <w:t>), NFS2 (</w:t>
      </w:r>
      <w:r w:rsidRPr="00C44ABB">
        <w:rPr>
          <w:rFonts w:ascii="Consolas" w:hAnsi="Consolas"/>
          <w:sz w:val="18"/>
          <w:lang w:val="es-ES"/>
        </w:rPr>
        <w:t>KAF8071197.1</w:t>
      </w:r>
      <w:r w:rsidRPr="00C44ABB">
        <w:rPr>
          <w:lang w:val="es-ES"/>
        </w:rPr>
        <w:t xml:space="preserve">) y el SCLY-like, que estaba </w:t>
      </w:r>
      <w:r w:rsidRPr="00C44ABB">
        <w:rPr>
          <w:b/>
          <w:lang w:val="es-ES"/>
        </w:rPr>
        <w:t>mal anotado</w:t>
      </w:r>
      <w:r w:rsidRPr="00C44ABB">
        <w:rPr>
          <w:lang w:val="es-ES"/>
        </w:rPr>
        <w:t xml:space="preserve"> — oculto dentro de un ORF quimérico de 3383 aa (</w:t>
      </w:r>
      <w:r w:rsidRPr="00C44ABB">
        <w:rPr>
          <w:rFonts w:ascii="Consolas" w:hAnsi="Consolas"/>
          <w:sz w:val="18"/>
          <w:lang w:val="es-ES"/>
        </w:rPr>
        <w:t>KAF8071094.1</w:t>
      </w:r>
      <w:r w:rsidRPr="00C44ABB">
        <w:rPr>
          <w:lang w:val="es-ES"/>
        </w:rPr>
        <w:t>).</w:t>
      </w:r>
    </w:p>
    <w:p w14:paraId="78686BDE" w14:textId="77777777" w:rsidR="008C0EC2" w:rsidRPr="00C44ABB" w:rsidRDefault="00000000">
      <w:pPr>
        <w:pStyle w:val="ListNumber"/>
        <w:rPr>
          <w:lang w:val="es-ES"/>
        </w:rPr>
      </w:pPr>
      <w:r w:rsidRPr="00C44ABB">
        <w:rPr>
          <w:lang w:val="es-ES"/>
        </w:rPr>
        <w:t xml:space="preserve">El gen SCLY-like se </w:t>
      </w:r>
      <w:r w:rsidRPr="00C44ABB">
        <w:rPr>
          <w:b/>
          <w:lang w:val="es-ES"/>
        </w:rPr>
        <w:t>curó manualmente</w:t>
      </w:r>
      <w:r w:rsidRPr="00C44ABB">
        <w:rPr>
          <w:lang w:val="es-ES"/>
        </w:rPr>
        <w:t xml:space="preserve"> y la curación se </w:t>
      </w:r>
      <w:r w:rsidRPr="00C44ABB">
        <w:rPr>
          <w:b/>
          <w:lang w:val="es-ES"/>
        </w:rPr>
        <w:t>validó con lecturas crudas de RNA-seq</w:t>
      </w:r>
      <w:r w:rsidRPr="00C44ABB">
        <w:rPr>
          <w:lang w:val="es-ES"/>
        </w:rPr>
        <w:t xml:space="preserve"> de la propia cepa: la unión exón-exón del modelo corregido tiene 29 lecturas de soporte; la del modelo automático del anotador tiene </w:t>
      </w:r>
      <w:r w:rsidRPr="00C44ABB">
        <w:rPr>
          <w:b/>
          <w:lang w:val="es-ES"/>
        </w:rPr>
        <w:t>cero</w:t>
      </w:r>
      <w:r w:rsidRPr="00C44ABB">
        <w:rPr>
          <w:lang w:val="es-ES"/>
        </w:rPr>
        <w:t>.</w:t>
      </w:r>
    </w:p>
    <w:p w14:paraId="58FF28A5" w14:textId="77777777" w:rsidR="008C0EC2" w:rsidRPr="00C44ABB" w:rsidRDefault="00000000">
      <w:pPr>
        <w:pStyle w:val="ListNumber"/>
        <w:rPr>
          <w:lang w:val="es-ES"/>
        </w:rPr>
      </w:pPr>
      <w:r w:rsidRPr="00C44ABB">
        <w:rPr>
          <w:lang w:val="es-ES"/>
        </w:rPr>
        <w:lastRenderedPageBreak/>
        <w:t xml:space="preserve">Un barrido sobre </w:t>
      </w:r>
      <w:r w:rsidRPr="00C44ABB">
        <w:rPr>
          <w:b/>
          <w:lang w:val="es-ES"/>
        </w:rPr>
        <w:t>119 proteomas de referencia</w:t>
      </w:r>
      <w:r w:rsidRPr="00C44ABB">
        <w:rPr>
          <w:lang w:val="es-ES"/>
        </w:rPr>
        <w:t xml:space="preserve"> (2.110.345 secuencias) recupera </w:t>
      </w:r>
      <w:r w:rsidRPr="00C44ABB">
        <w:rPr>
          <w:b/>
          <w:lang w:val="es-ES"/>
        </w:rPr>
        <w:t>66 proteínas SCLY-like en 56 especies de 7 linajes algales</w:t>
      </w:r>
      <w:r w:rsidRPr="00C44ABB">
        <w:rPr>
          <w:lang w:val="es-ES"/>
        </w:rPr>
        <w:t>, formando un clado monofilético con soporte 0,96 y con la SCLY humana como rama hermana.</w:t>
      </w:r>
    </w:p>
    <w:p w14:paraId="4FC72BAA" w14:textId="77777777" w:rsidR="008C0EC2" w:rsidRPr="00C44ABB" w:rsidRDefault="00000000">
      <w:pPr>
        <w:pStyle w:val="ListNumber"/>
        <w:rPr>
          <w:lang w:val="es-ES"/>
        </w:rPr>
      </w:pPr>
      <w:r w:rsidRPr="00C44ABB">
        <w:rPr>
          <w:lang w:val="es-ES"/>
        </w:rPr>
        <w:t xml:space="preserve">El clado está </w:t>
      </w:r>
      <w:r w:rsidRPr="00C44ABB">
        <w:rPr>
          <w:b/>
          <w:lang w:val="es-ES"/>
        </w:rPr>
        <w:t>ausente</w:t>
      </w:r>
      <w:r w:rsidRPr="00C44ABB">
        <w:rPr>
          <w:lang w:val="es-ES"/>
        </w:rPr>
        <w:t xml:space="preserve"> en las 6 embriofitas, las 12 rodofitas y 14 proteomas de estramenopilas no diatomeas examinados. La pérdida en plantas terrestres y en algas rojas es independiente.</w:t>
      </w:r>
    </w:p>
    <w:p w14:paraId="26E2FDEA" w14:textId="77777777" w:rsidR="008C0EC2" w:rsidRPr="00C44ABB" w:rsidRDefault="00000000">
      <w:pPr>
        <w:pStyle w:val="ListNumber"/>
        <w:rPr>
          <w:lang w:val="es-ES"/>
        </w:rPr>
      </w:pPr>
      <w:r w:rsidRPr="00C44ABB">
        <w:rPr>
          <w:lang w:val="es-ES"/>
        </w:rPr>
        <w:t xml:space="preserve">La firma </w:t>
      </w:r>
      <w:r w:rsidRPr="00C44ABB">
        <w:rPr>
          <w:rFonts w:ascii="Consolas" w:hAnsi="Consolas"/>
          <w:sz w:val="18"/>
          <w:lang w:val="es-ES"/>
        </w:rPr>
        <w:t>G-x-x-C-H</w:t>
      </w:r>
      <w:r w:rsidRPr="00C44ABB">
        <w:rPr>
          <w:lang w:val="es-ES"/>
        </w:rPr>
        <w:t xml:space="preserve"> es </w:t>
      </w:r>
      <w:r w:rsidRPr="00C44ABB">
        <w:rPr>
          <w:b/>
          <w:lang w:val="es-ES"/>
        </w:rPr>
        <w:t>invariante</w:t>
      </w:r>
      <w:r w:rsidRPr="00C44ABB">
        <w:rPr>
          <w:lang w:val="es-ES"/>
        </w:rPr>
        <w:t>: entropía de Shannon = 0,000 bits en las 66 secuencias.</w:t>
      </w:r>
    </w:p>
    <w:p w14:paraId="6D33B5B9" w14:textId="77777777" w:rsidR="008C0EC2" w:rsidRPr="00C44ABB" w:rsidRDefault="00000000">
      <w:pPr>
        <w:rPr>
          <w:lang w:val="es-ES"/>
        </w:rPr>
      </w:pPr>
      <w:r w:rsidRPr="00C44ABB">
        <w:rPr>
          <w:b/>
          <w:lang w:val="es-ES"/>
        </w:rPr>
        <w:t>El titular honesto:</w:t>
      </w:r>
      <w:r w:rsidRPr="00C44ABB">
        <w:rPr>
          <w:lang w:val="es-ES"/>
        </w:rPr>
        <w:t xml:space="preserve"> </w:t>
      </w:r>
      <w:r w:rsidRPr="00C44ABB">
        <w:rPr>
          <w:i/>
          <w:lang w:val="es-ES"/>
        </w:rPr>
        <w:t>primera descripción sistemática de un clado de cisteína desulfurasas tipo selenocisteína liasa en algas, con un caso de curación génica validado por RNA-seq.</w:t>
      </w:r>
    </w:p>
    <w:p w14:paraId="73CF717D" w14:textId="77777777" w:rsidR="008C0EC2" w:rsidRPr="00C44ABB" w:rsidRDefault="00000000">
      <w:pPr>
        <w:rPr>
          <w:lang w:val="es-ES"/>
        </w:rPr>
      </w:pPr>
      <w:r w:rsidRPr="00C44ABB">
        <w:rPr>
          <w:b/>
          <w:lang w:val="es-ES"/>
        </w:rPr>
        <w:t>Lo que NO se puede decir:</w:t>
      </w:r>
      <w:r w:rsidRPr="00C44ABB">
        <w:rPr>
          <w:lang w:val="es-ES"/>
        </w:rPr>
        <w:t xml:space="preserve"> que es una familia nueva (no lo es: es el ortólogo algal de SCLY, antes no descrito como grupo), ni que se demostró actividad sobre selenocisteína (eso requiere ensayo enzimático).</w:t>
      </w:r>
    </w:p>
    <w:p w14:paraId="7841CF34" w14:textId="77777777" w:rsidR="008C0EC2" w:rsidRPr="00C44ABB" w:rsidRDefault="008C0EC2">
      <w:pPr>
        <w:rPr>
          <w:lang w:val="es-ES"/>
        </w:rPr>
      </w:pPr>
    </w:p>
    <w:p w14:paraId="0FB6F568" w14:textId="77777777" w:rsidR="008C0EC2" w:rsidRPr="00C44ABB" w:rsidRDefault="00000000">
      <w:pPr>
        <w:pStyle w:val="Heading1"/>
        <w:rPr>
          <w:lang w:val="es-ES"/>
        </w:rPr>
      </w:pPr>
      <w:r w:rsidRPr="00C44ABB">
        <w:rPr>
          <w:lang w:val="es-ES"/>
        </w:rPr>
        <w:t>2. Cronología</w:t>
      </w:r>
    </w:p>
    <w:p w14:paraId="78F13F77" w14:textId="77777777" w:rsidR="008C0EC2" w:rsidRPr="00C44ABB" w:rsidRDefault="00000000">
      <w:pPr>
        <w:pStyle w:val="Heading2"/>
        <w:rPr>
          <w:lang w:val="es-ES"/>
        </w:rPr>
      </w:pPr>
      <w:r w:rsidRPr="00C44ABB">
        <w:rPr>
          <w:lang w:val="es-ES"/>
        </w:rPr>
        <w:t>2.1 — Punto de partida: ¿hay una segunda NFS2 en PABB004?</w:t>
      </w:r>
    </w:p>
    <w:p w14:paraId="5A1CAA45" w14:textId="77777777" w:rsidR="008C0EC2" w:rsidRPr="00C44ABB" w:rsidRDefault="00000000">
      <w:pPr>
        <w:rPr>
          <w:lang w:val="es-ES"/>
        </w:rPr>
      </w:pPr>
      <w:r w:rsidRPr="00C44ABB">
        <w:rPr>
          <w:b/>
          <w:lang w:val="es-ES"/>
        </w:rPr>
        <w:t>Qué se hizo.</w:t>
      </w:r>
      <w:r w:rsidRPr="00C44ABB">
        <w:rPr>
          <w:lang w:val="es-ES"/>
        </w:rPr>
        <w:t xml:space="preserve"> BLASTp del cebo </w:t>
      </w:r>
      <w:r w:rsidRPr="00C44ABB">
        <w:rPr>
          <w:rFonts w:ascii="Consolas" w:hAnsi="Consolas"/>
          <w:sz w:val="18"/>
          <w:lang w:val="es-ES"/>
        </w:rPr>
        <w:t>PNW80545.1</w:t>
      </w:r>
      <w:r w:rsidRPr="00C44ABB">
        <w:rPr>
          <w:lang w:val="es-ES"/>
        </w:rPr>
        <w:t xml:space="preserve"> (</w:t>
      </w:r>
      <w:r w:rsidRPr="00C44ABB">
        <w:rPr>
          <w:i/>
          <w:lang w:val="es-ES"/>
        </w:rPr>
        <w:t>C. reinhardtii</w:t>
      </w:r>
      <w:r w:rsidRPr="00C44ABB">
        <w:rPr>
          <w:lang w:val="es-ES"/>
        </w:rPr>
        <w:t xml:space="preserve">, etiquetado "NFS2" en AlgaePath) contra las proteínas de </w:t>
      </w:r>
      <w:r w:rsidRPr="00C44ABB">
        <w:rPr>
          <w:i/>
          <w:lang w:val="es-ES"/>
        </w:rPr>
        <w:t>Scenedesmus</w:t>
      </w:r>
      <w:r w:rsidRPr="00C44ABB">
        <w:rPr>
          <w:lang w:val="es-ES"/>
        </w:rPr>
        <w:t xml:space="preserve"> sp. PABB004 (BioProject </w:t>
      </w:r>
      <w:r w:rsidRPr="00C44ABB">
        <w:rPr>
          <w:rFonts w:ascii="Consolas" w:hAnsi="Consolas"/>
          <w:sz w:val="18"/>
          <w:lang w:val="es-ES"/>
        </w:rPr>
        <w:t>PRJNA637367</w:t>
      </w:r>
      <w:r w:rsidRPr="00C44ABB">
        <w:rPr>
          <w:lang w:val="es-ES"/>
        </w:rPr>
        <w:t xml:space="preserve">, scaffold </w:t>
      </w:r>
      <w:r w:rsidRPr="00C44ABB">
        <w:rPr>
          <w:rFonts w:ascii="Consolas" w:hAnsi="Consolas"/>
          <w:sz w:val="18"/>
          <w:lang w:val="es-ES"/>
        </w:rPr>
        <w:t>JABVCE010000002.1</w:t>
      </w:r>
      <w:r w:rsidRPr="00C44ABB">
        <w:rPr>
          <w:lang w:val="es-ES"/>
        </w:rPr>
        <w:t>).</w:t>
      </w:r>
    </w:p>
    <w:p w14:paraId="18BD0497" w14:textId="77777777" w:rsidR="008C0EC2" w:rsidRPr="00C44ABB" w:rsidRDefault="00000000">
      <w:pPr>
        <w:rPr>
          <w:lang w:val="es-ES"/>
        </w:rPr>
      </w:pPr>
      <w:r w:rsidRPr="00C44ABB">
        <w:rPr>
          <w:b/>
          <w:lang w:val="es-ES"/>
        </w:rPr>
        <w:t>Por qué BLASTp.</w:t>
      </w:r>
      <w:r w:rsidRPr="00C44ABB">
        <w:rPr>
          <w:lang w:val="es-ES"/>
        </w:rPr>
        <w:t xml:space="preserve"> Para una primera pesca de homólogos cercanos dentro de un genoma chico es lo correcto: rápido, con estadística bien calibrada, y no necesita un modelo previo de la familia.</w:t>
      </w:r>
    </w:p>
    <w:p w14:paraId="2665E16F" w14:textId="77777777" w:rsidR="008C0EC2" w:rsidRDefault="00000000">
      <w:r w:rsidRPr="00C44ABB">
        <w:rPr>
          <w:b/>
          <w:lang w:val="es-ES"/>
        </w:rPr>
        <w:t>Qué dio.</w:t>
      </w:r>
      <w:r w:rsidRPr="00C44ABB">
        <w:rPr>
          <w:lang w:val="es-ES"/>
        </w:rPr>
        <w:t xml:space="preserve"> Un único hit fuerte, pero contra una proteína de </w:t>
      </w:r>
      <w:r w:rsidRPr="00C44ABB">
        <w:rPr>
          <w:b/>
          <w:lang w:val="es-ES"/>
        </w:rPr>
        <w:t>3383 aa</w:t>
      </w:r>
      <w:r w:rsidRPr="00C44ABB">
        <w:rPr>
          <w:lang w:val="es-ES"/>
        </w:rPr>
        <w:t xml:space="preserve"> (</w:t>
      </w:r>
      <w:r w:rsidRPr="00C44ABB">
        <w:rPr>
          <w:rFonts w:ascii="Consolas" w:hAnsi="Consolas"/>
          <w:sz w:val="18"/>
          <w:lang w:val="es-ES"/>
        </w:rPr>
        <w:t>KAF8071094.1</w:t>
      </w:r>
      <w:r w:rsidRPr="00C44ABB">
        <w:rPr>
          <w:lang w:val="es-ES"/>
        </w:rPr>
        <w:t xml:space="preserve">) — absurdamente larga para una desulfurasa, que ronda los 450–500 aa. </w:t>
      </w:r>
      <w:r>
        <w:t>El alineamiento cubría sólo un tramo interno.</w:t>
      </w:r>
    </w:p>
    <w:p w14:paraId="2D862B3A" w14:textId="77777777" w:rsidR="008C0EC2" w:rsidRDefault="00000000">
      <w:pPr>
        <w:jc w:val="center"/>
      </w:pPr>
      <w:r>
        <w:rPr>
          <w:noProof/>
        </w:rPr>
        <w:drawing>
          <wp:inline distT="0" distB="0" distL="0" distR="0" wp14:anchorId="32F0DB2A" wp14:editId="5D14B033">
            <wp:extent cx="5120640" cy="1190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a16514c_blastp_hits_Scenedesmus.png"/>
                    <pic:cNvPicPr/>
                  </pic:nvPicPr>
                  <pic:blipFill>
                    <a:blip r:embed="rId6"/>
                    <a:stretch>
                      <a:fillRect/>
                    </a:stretch>
                  </pic:blipFill>
                  <pic:spPr>
                    <a:xfrm>
                      <a:off x="0" y="0"/>
                      <a:ext cx="5120640" cy="1190703"/>
                    </a:xfrm>
                    <a:prstGeom prst="rect">
                      <a:avLst/>
                    </a:prstGeom>
                  </pic:spPr>
                </pic:pic>
              </a:graphicData>
            </a:graphic>
          </wp:inline>
        </w:drawing>
      </w:r>
    </w:p>
    <w:p w14:paraId="0F3529FD" w14:textId="77777777" w:rsidR="008C0EC2" w:rsidRPr="00C44ABB" w:rsidRDefault="00000000">
      <w:pPr>
        <w:jc w:val="center"/>
        <w:rPr>
          <w:lang w:val="es-ES"/>
        </w:rPr>
      </w:pPr>
      <w:r w:rsidRPr="00C44ABB">
        <w:rPr>
          <w:i/>
          <w:color w:val="555555"/>
          <w:sz w:val="17"/>
          <w:lang w:val="es-ES"/>
        </w:rPr>
        <w:t>Hits de BLASTp contra el genoma de Scenedesmus</w:t>
      </w:r>
    </w:p>
    <w:p w14:paraId="05988131" w14:textId="77777777" w:rsidR="008C0EC2" w:rsidRPr="00C44ABB" w:rsidRDefault="00000000">
      <w:pPr>
        <w:rPr>
          <w:lang w:val="es-ES"/>
        </w:rPr>
      </w:pPr>
      <w:r w:rsidRPr="00C44ABB">
        <w:rPr>
          <w:b/>
          <w:lang w:val="es-ES"/>
        </w:rPr>
        <w:t>Qué no prueba.</w:t>
      </w:r>
      <w:r w:rsidRPr="00C44ABB">
        <w:rPr>
          <w:lang w:val="es-ES"/>
        </w:rPr>
        <w:t xml:space="preserve"> Un hit de BLASTp contra un ORF largo no dice si el ORF es real, si es una fusión génica verdadera o si es un error de anotación. Esa pregunta quedó abierta durante casi todo el proyecto y recién se cerró en §2.13.</w:t>
      </w:r>
    </w:p>
    <w:p w14:paraId="46A0E3B5" w14:textId="77777777" w:rsidR="008C0EC2" w:rsidRPr="00C44ABB" w:rsidRDefault="008C0EC2">
      <w:pPr>
        <w:rPr>
          <w:lang w:val="es-ES"/>
        </w:rPr>
      </w:pPr>
    </w:p>
    <w:p w14:paraId="254C655B" w14:textId="77777777" w:rsidR="008C0EC2" w:rsidRPr="00C44ABB" w:rsidRDefault="00000000">
      <w:pPr>
        <w:pStyle w:val="Heading2"/>
        <w:rPr>
          <w:lang w:val="es-ES"/>
        </w:rPr>
      </w:pPr>
      <w:r w:rsidRPr="00C44ABB">
        <w:rPr>
          <w:lang w:val="es-ES"/>
        </w:rPr>
        <w:t>2.2 — Diseccionar el ORF de 3383 aa</w:t>
      </w:r>
    </w:p>
    <w:p w14:paraId="7ED91C49" w14:textId="77777777" w:rsidR="008C0EC2" w:rsidRPr="00C44ABB" w:rsidRDefault="00000000">
      <w:pPr>
        <w:rPr>
          <w:lang w:val="es-ES"/>
        </w:rPr>
      </w:pPr>
      <w:r w:rsidRPr="00C44ABB">
        <w:rPr>
          <w:b/>
          <w:lang w:val="es-ES"/>
        </w:rPr>
        <w:t>Qué se hizo.</w:t>
      </w:r>
      <w:r w:rsidRPr="00C44ABB">
        <w:rPr>
          <w:lang w:val="es-ES"/>
        </w:rPr>
        <w:t xml:space="preserve"> CD-Search (NCBI Conserved Domain Database) sobre </w:t>
      </w:r>
      <w:r w:rsidRPr="00C44ABB">
        <w:rPr>
          <w:rFonts w:ascii="Consolas" w:hAnsi="Consolas"/>
          <w:sz w:val="18"/>
          <w:lang w:val="es-ES"/>
        </w:rPr>
        <w:t>KAF8071094.1</w:t>
      </w:r>
      <w:r w:rsidRPr="00C44ABB">
        <w:rPr>
          <w:lang w:val="es-ES"/>
        </w:rPr>
        <w:t xml:space="preserve"> completo, y BLASTp del tramo recortado contra el propio ORF para localizar los límites.</w:t>
      </w:r>
    </w:p>
    <w:p w14:paraId="6A1F209E" w14:textId="77777777" w:rsidR="008C0EC2" w:rsidRPr="00C44ABB" w:rsidRDefault="00000000">
      <w:pPr>
        <w:rPr>
          <w:lang w:val="es-ES"/>
        </w:rPr>
      </w:pPr>
      <w:r w:rsidRPr="00C44ABB">
        <w:rPr>
          <w:b/>
          <w:lang w:val="es-ES"/>
        </w:rPr>
        <w:t>Por qué CD-Search.</w:t>
      </w:r>
      <w:r w:rsidRPr="00C44ABB">
        <w:rPr>
          <w:lang w:val="es-ES"/>
        </w:rPr>
        <w:t xml:space="preserve"> Es el servidor que hace lo que se necesitaba: dado un ORF largo sin anotación confiable, devolver la </w:t>
      </w:r>
      <w:r w:rsidRPr="00C44ABB">
        <w:rPr>
          <w:b/>
          <w:lang w:val="es-ES"/>
        </w:rPr>
        <w:t>arquitectura de dominios</w:t>
      </w:r>
      <w:r w:rsidRPr="00C44ABB">
        <w:rPr>
          <w:lang w:val="es-ES"/>
        </w:rPr>
        <w:t xml:space="preserve"> con coordenadas y E-value. Un BLAST te dice "se parece a X"; CD-Search te dice "tiene estos cinco bloques en estas posiciones".</w:t>
      </w:r>
    </w:p>
    <w:p w14:paraId="4733303B" w14:textId="77777777" w:rsidR="008C0EC2" w:rsidRPr="00C44ABB" w:rsidRDefault="00000000">
      <w:pPr>
        <w:rPr>
          <w:lang w:val="es-ES"/>
        </w:rPr>
      </w:pPr>
      <w:r w:rsidRPr="00C44ABB">
        <w:rPr>
          <w:b/>
          <w:lang w:val="es-ES"/>
        </w:rPr>
        <w:lastRenderedPageBreak/>
        <w:t>Qué dio.</w:t>
      </w:r>
      <w:r w:rsidRPr="00C44ABB">
        <w:rPr>
          <w:lang w:val="es-ES"/>
        </w:rPr>
        <w:t xml:space="preserve"> Cinco bloques de dominios sin relación funcional entre sí, en un mismo marco de lectura:</w:t>
      </w:r>
    </w:p>
    <w:tbl>
      <w:tblPr>
        <w:tblStyle w:val="LightGrid-Accent1"/>
        <w:tblW w:w="0" w:type="auto"/>
        <w:jc w:val="center"/>
        <w:tblLook w:val="04A0" w:firstRow="1" w:lastRow="0" w:firstColumn="1" w:lastColumn="0" w:noHBand="0" w:noVBand="1"/>
      </w:tblPr>
      <w:tblGrid>
        <w:gridCol w:w="3264"/>
        <w:gridCol w:w="3264"/>
        <w:gridCol w:w="3264"/>
      </w:tblGrid>
      <w:tr w:rsidR="008C0EC2" w14:paraId="2F65D6C8"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1CE1151" w14:textId="77777777" w:rsidR="008C0EC2" w:rsidRDefault="00000000">
            <w:r>
              <w:rPr>
                <w:sz w:val="17"/>
              </w:rPr>
              <w:t>Bloque</w:t>
            </w:r>
          </w:p>
        </w:tc>
        <w:tc>
          <w:tcPr>
            <w:tcW w:w="3264" w:type="dxa"/>
          </w:tcPr>
          <w:p w14:paraId="297B07A6"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Dominio</w:t>
            </w:r>
          </w:p>
        </w:tc>
        <w:tc>
          <w:tcPr>
            <w:tcW w:w="3264" w:type="dxa"/>
          </w:tcPr>
          <w:p w14:paraId="6FE1401F"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Función esperada</w:t>
            </w:r>
          </w:p>
        </w:tc>
      </w:tr>
      <w:tr w:rsidR="008C0EC2" w14:paraId="5464B178"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0ED7153" w14:textId="77777777" w:rsidR="008C0EC2" w:rsidRDefault="00000000">
            <w:r>
              <w:rPr>
                <w:sz w:val="17"/>
              </w:rPr>
              <w:t>1</w:t>
            </w:r>
          </w:p>
        </w:tc>
        <w:tc>
          <w:tcPr>
            <w:tcW w:w="3264" w:type="dxa"/>
          </w:tcPr>
          <w:p w14:paraId="60215F9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Lipase_3 / Abhydrolase</w:t>
            </w:r>
          </w:p>
        </w:tc>
        <w:tc>
          <w:tcPr>
            <w:tcW w:w="3264" w:type="dxa"/>
          </w:tcPr>
          <w:p w14:paraId="7B5DB138"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lipasa</w:t>
            </w:r>
          </w:p>
        </w:tc>
      </w:tr>
      <w:tr w:rsidR="008C0EC2" w14:paraId="21705F09"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5F939D0" w14:textId="77777777" w:rsidR="008C0EC2" w:rsidRDefault="00000000">
            <w:r>
              <w:rPr>
                <w:sz w:val="17"/>
              </w:rPr>
              <w:t>2</w:t>
            </w:r>
          </w:p>
        </w:tc>
        <w:tc>
          <w:tcPr>
            <w:tcW w:w="3264" w:type="dxa"/>
          </w:tcPr>
          <w:p w14:paraId="352BA5A6"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NDPk</w:t>
            </w:r>
          </w:p>
        </w:tc>
        <w:tc>
          <w:tcPr>
            <w:tcW w:w="3264" w:type="dxa"/>
          </w:tcPr>
          <w:p w14:paraId="667E96E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nucleósido-difosfato quinasa</w:t>
            </w:r>
          </w:p>
        </w:tc>
      </w:tr>
      <w:tr w:rsidR="008C0EC2" w14:paraId="22A0C14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EFA8F71" w14:textId="77777777" w:rsidR="008C0EC2" w:rsidRDefault="00000000">
            <w:r>
              <w:rPr>
                <w:sz w:val="17"/>
              </w:rPr>
              <w:t>3</w:t>
            </w:r>
          </w:p>
        </w:tc>
        <w:tc>
          <w:tcPr>
            <w:tcW w:w="3264" w:type="dxa"/>
          </w:tcPr>
          <w:p w14:paraId="1D5DE494"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Histidinol_dh (PLN02926)</w:t>
            </w:r>
          </w:p>
        </w:tc>
        <w:tc>
          <w:tcPr>
            <w:tcW w:w="3264" w:type="dxa"/>
          </w:tcPr>
          <w:p w14:paraId="3616C56D"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biosíntesis de histidina</w:t>
            </w:r>
          </w:p>
        </w:tc>
      </w:tr>
      <w:tr w:rsidR="008C0EC2" w14:paraId="21E7BB32"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C22F8F1" w14:textId="77777777" w:rsidR="008C0EC2" w:rsidRDefault="00000000">
            <w:r>
              <w:rPr>
                <w:sz w:val="17"/>
              </w:rPr>
              <w:t>4</w:t>
            </w:r>
          </w:p>
        </w:tc>
        <w:tc>
          <w:tcPr>
            <w:tcW w:w="3264" w:type="dxa"/>
          </w:tcPr>
          <w:p w14:paraId="34B4E19C"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AAT_I</w:t>
            </w:r>
            <w:r>
              <w:rPr>
                <w:sz w:val="17"/>
              </w:rPr>
              <w:t xml:space="preserve"> (aminotransferasa clase I/II/V)</w:t>
            </w:r>
          </w:p>
        </w:tc>
        <w:tc>
          <w:tcPr>
            <w:tcW w:w="3264" w:type="dxa"/>
          </w:tcPr>
          <w:p w14:paraId="1A3FF005"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la desulfurasa</w:t>
            </w:r>
          </w:p>
        </w:tc>
      </w:tr>
      <w:tr w:rsidR="008C0EC2" w14:paraId="5A702AA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2053CAA" w14:textId="77777777" w:rsidR="008C0EC2" w:rsidRDefault="00000000">
            <w:r>
              <w:rPr>
                <w:sz w:val="17"/>
              </w:rPr>
              <w:t>5</w:t>
            </w:r>
          </w:p>
        </w:tc>
        <w:tc>
          <w:tcPr>
            <w:tcW w:w="3264" w:type="dxa"/>
          </w:tcPr>
          <w:p w14:paraId="2DF514E2"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tres repeticiones LamG</w:t>
            </w:r>
          </w:p>
        </w:tc>
        <w:tc>
          <w:tcPr>
            <w:tcW w:w="3264" w:type="dxa"/>
          </w:tcPr>
          <w:p w14:paraId="2E2EF4C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laminina G</w:t>
            </w:r>
          </w:p>
        </w:tc>
      </w:tr>
    </w:tbl>
    <w:p w14:paraId="1C209498" w14:textId="77777777" w:rsidR="008C0EC2" w:rsidRDefault="008C0EC2"/>
    <w:p w14:paraId="28F15BD8" w14:textId="77777777" w:rsidR="008C0EC2" w:rsidRDefault="00000000">
      <w:pPr>
        <w:jc w:val="center"/>
      </w:pPr>
      <w:r>
        <w:rPr>
          <w:noProof/>
        </w:rPr>
        <w:drawing>
          <wp:inline distT="0" distB="0" distL="0" distR="0" wp14:anchorId="7DB87B7A" wp14:editId="2965E731">
            <wp:extent cx="5120640" cy="8591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b699ab7_dominios_CDSearch_ORF3383.png"/>
                    <pic:cNvPicPr/>
                  </pic:nvPicPr>
                  <pic:blipFill>
                    <a:blip r:embed="rId7"/>
                    <a:stretch>
                      <a:fillRect/>
                    </a:stretch>
                  </pic:blipFill>
                  <pic:spPr>
                    <a:xfrm>
                      <a:off x="0" y="0"/>
                      <a:ext cx="5120640" cy="859106"/>
                    </a:xfrm>
                    <a:prstGeom prst="rect">
                      <a:avLst/>
                    </a:prstGeom>
                  </pic:spPr>
                </pic:pic>
              </a:graphicData>
            </a:graphic>
          </wp:inline>
        </w:drawing>
      </w:r>
    </w:p>
    <w:p w14:paraId="4E5D3207" w14:textId="77777777" w:rsidR="008C0EC2" w:rsidRDefault="00000000">
      <w:pPr>
        <w:jc w:val="center"/>
      </w:pPr>
      <w:r>
        <w:rPr>
          <w:i/>
          <w:color w:val="555555"/>
          <w:sz w:val="17"/>
        </w:rPr>
        <w:t>Arquitectura de dominios del ORF de 3383 aa</w:t>
      </w:r>
    </w:p>
    <w:p w14:paraId="68551819" w14:textId="77777777" w:rsidR="008C0EC2" w:rsidRDefault="00000000">
      <w:pPr>
        <w:jc w:val="center"/>
      </w:pPr>
      <w:r>
        <w:rPr>
          <w:noProof/>
        </w:rPr>
        <w:drawing>
          <wp:inline distT="0" distB="0" distL="0" distR="0" wp14:anchorId="4562FD9F" wp14:editId="01A886CC">
            <wp:extent cx="5120640" cy="41793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f62569fc_blastp_HText_vs_ORF3383.png"/>
                    <pic:cNvPicPr/>
                  </pic:nvPicPr>
                  <pic:blipFill>
                    <a:blip r:embed="rId8"/>
                    <a:stretch>
                      <a:fillRect/>
                    </a:stretch>
                  </pic:blipFill>
                  <pic:spPr>
                    <a:xfrm>
                      <a:off x="0" y="0"/>
                      <a:ext cx="5120640" cy="4179346"/>
                    </a:xfrm>
                    <a:prstGeom prst="rect">
                      <a:avLst/>
                    </a:prstGeom>
                  </pic:spPr>
                </pic:pic>
              </a:graphicData>
            </a:graphic>
          </wp:inline>
        </w:drawing>
      </w:r>
    </w:p>
    <w:p w14:paraId="238A63F4" w14:textId="77777777" w:rsidR="008C0EC2" w:rsidRPr="00C44ABB" w:rsidRDefault="00000000">
      <w:pPr>
        <w:jc w:val="center"/>
        <w:rPr>
          <w:lang w:val="es-ES"/>
        </w:rPr>
      </w:pPr>
      <w:r w:rsidRPr="00C44ABB">
        <w:rPr>
          <w:i/>
          <w:color w:val="555555"/>
          <w:sz w:val="17"/>
          <w:lang w:val="es-ES"/>
        </w:rPr>
        <w:t>BLASTp del tramo recortado contra el ORF completo</w:t>
      </w:r>
    </w:p>
    <w:p w14:paraId="0F295E90" w14:textId="77777777" w:rsidR="008C0EC2" w:rsidRPr="00C44ABB" w:rsidRDefault="00000000">
      <w:pPr>
        <w:rPr>
          <w:lang w:val="es-ES"/>
        </w:rPr>
      </w:pPr>
      <w:r w:rsidRPr="00C44ABB">
        <w:rPr>
          <w:lang w:val="es-ES"/>
        </w:rPr>
        <w:t xml:space="preserve">Ningún organismo conocido fusiona lipasa + NDP quinasa + histidinol deshidrogenasa + aminotransferasa + laminina G en una sola cadena. </w:t>
      </w:r>
      <w:r w:rsidRPr="00C44ABB">
        <w:rPr>
          <w:b/>
          <w:lang w:val="es-ES"/>
        </w:rPr>
        <w:t>Diagnóstico: el ORF es un artefacto de anotación</w:t>
      </w:r>
      <w:r w:rsidRPr="00C44ABB">
        <w:rPr>
          <w:lang w:val="es-ES"/>
        </w:rPr>
        <w:t xml:space="preserve"> — el predictor pegó varios genes vecinos en un transcripto único. El tramo de aminotransferasa se recortó a mano y se lo llamó provisoriamente </w:t>
      </w:r>
      <w:r w:rsidRPr="00C44ABB">
        <w:rPr>
          <w:b/>
          <w:lang w:val="es-ES"/>
        </w:rPr>
        <w:t>"HText"</w:t>
      </w:r>
      <w:r w:rsidRPr="00C44ABB">
        <w:rPr>
          <w:lang w:val="es-ES"/>
        </w:rPr>
        <w:t>.</w:t>
      </w:r>
    </w:p>
    <w:p w14:paraId="411D6266" w14:textId="77777777" w:rsidR="008C0EC2" w:rsidRPr="00C44ABB" w:rsidRDefault="00000000">
      <w:pPr>
        <w:rPr>
          <w:lang w:val="es-ES"/>
        </w:rPr>
      </w:pPr>
      <w:r w:rsidRPr="00C44ABB">
        <w:rPr>
          <w:b/>
          <w:lang w:val="es-ES"/>
        </w:rPr>
        <w:lastRenderedPageBreak/>
        <w:t>Qué no prueba.</w:t>
      </w:r>
      <w:r w:rsidRPr="00C44ABB">
        <w:rPr>
          <w:lang w:val="es-ES"/>
        </w:rPr>
        <w:t xml:space="preserve"> El recorte manual fija límites arbitrarios. Las consecuencias de eso aparecen en §2.4 y se arreglan recién en §2.13.</w:t>
      </w:r>
    </w:p>
    <w:p w14:paraId="1F54C3B7" w14:textId="77777777" w:rsidR="008C0EC2" w:rsidRPr="00C44ABB" w:rsidRDefault="008C0EC2">
      <w:pPr>
        <w:rPr>
          <w:lang w:val="es-ES"/>
        </w:rPr>
      </w:pPr>
    </w:p>
    <w:p w14:paraId="11E50319" w14:textId="77777777" w:rsidR="008C0EC2" w:rsidRPr="00C44ABB" w:rsidRDefault="00000000">
      <w:pPr>
        <w:pStyle w:val="Heading2"/>
        <w:rPr>
          <w:lang w:val="es-ES"/>
        </w:rPr>
      </w:pPr>
      <w:r w:rsidRPr="00C44ABB">
        <w:rPr>
          <w:lang w:val="es-ES"/>
        </w:rPr>
        <w:t>2.3 — La segunda búsqueda, y la NFS2 verdadera</w:t>
      </w:r>
    </w:p>
    <w:p w14:paraId="19B491BA" w14:textId="77777777" w:rsidR="008C0EC2" w:rsidRPr="00C44ABB" w:rsidRDefault="00000000">
      <w:pPr>
        <w:rPr>
          <w:lang w:val="es-ES"/>
        </w:rPr>
      </w:pPr>
      <w:r w:rsidRPr="00C44ABB">
        <w:rPr>
          <w:b/>
          <w:lang w:val="es-ES"/>
        </w:rPr>
        <w:t>Qué se hizo.</w:t>
      </w:r>
      <w:r w:rsidRPr="00C44ABB">
        <w:rPr>
          <w:lang w:val="es-ES"/>
        </w:rPr>
        <w:t xml:space="preserve"> Búsqueda más permisiva contra el proteoma de PABB004 con cebos de NFS1 y NFS2 de </w:t>
      </w:r>
      <w:r w:rsidRPr="00C44ABB">
        <w:rPr>
          <w:i/>
          <w:lang w:val="es-ES"/>
        </w:rPr>
        <w:t>Arabidopsis thaliana</w:t>
      </w:r>
      <w:r w:rsidRPr="00C44ABB">
        <w:rPr>
          <w:lang w:val="es-ES"/>
        </w:rPr>
        <w:t xml:space="preserve"> (</w:t>
      </w:r>
      <w:r w:rsidRPr="00C44ABB">
        <w:rPr>
          <w:rFonts w:ascii="Consolas" w:hAnsi="Consolas"/>
          <w:sz w:val="18"/>
          <w:lang w:val="es-ES"/>
        </w:rPr>
        <w:t>O49543</w:t>
      </w:r>
      <w:r w:rsidRPr="00C44ABB">
        <w:rPr>
          <w:lang w:val="es-ES"/>
        </w:rPr>
        <w:t xml:space="preserve">, </w:t>
      </w:r>
      <w:r w:rsidRPr="00C44ABB">
        <w:rPr>
          <w:rFonts w:ascii="Consolas" w:hAnsi="Consolas"/>
          <w:sz w:val="18"/>
          <w:lang w:val="es-ES"/>
        </w:rPr>
        <w:t>Q93WX6</w:t>
      </w:r>
      <w:r w:rsidRPr="00C44ABB">
        <w:rPr>
          <w:lang w:val="es-ES"/>
        </w:rPr>
        <w:t>).</w:t>
      </w:r>
    </w:p>
    <w:p w14:paraId="3F475686" w14:textId="77777777" w:rsidR="008C0EC2" w:rsidRPr="00C44ABB" w:rsidRDefault="00000000">
      <w:pPr>
        <w:rPr>
          <w:lang w:val="es-ES"/>
        </w:rPr>
      </w:pPr>
      <w:r w:rsidRPr="00C44ABB">
        <w:rPr>
          <w:b/>
          <w:lang w:val="es-ES"/>
        </w:rPr>
        <w:t>Qué dio.</w:t>
      </w:r>
      <w:r w:rsidRPr="00C44ABB">
        <w:rPr>
          <w:lang w:val="es-ES"/>
        </w:rPr>
        <w:t xml:space="preserve"> Dos proteínas limpias, de longitud normal:</w:t>
      </w:r>
    </w:p>
    <w:tbl>
      <w:tblPr>
        <w:tblStyle w:val="LightGrid-Accent1"/>
        <w:tblW w:w="0" w:type="auto"/>
        <w:jc w:val="center"/>
        <w:tblLook w:val="04A0" w:firstRow="1" w:lastRow="0" w:firstColumn="1" w:lastColumn="0" w:noHBand="0" w:noVBand="1"/>
      </w:tblPr>
      <w:tblGrid>
        <w:gridCol w:w="2448"/>
        <w:gridCol w:w="2448"/>
        <w:gridCol w:w="2448"/>
        <w:gridCol w:w="2448"/>
      </w:tblGrid>
      <w:tr w:rsidR="008C0EC2" w:rsidRPr="00C44ABB" w14:paraId="3159781F"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ECF373C" w14:textId="77777777" w:rsidR="008C0EC2" w:rsidRDefault="00000000">
            <w:r>
              <w:rPr>
                <w:sz w:val="17"/>
              </w:rPr>
              <w:t>Proteína</w:t>
            </w:r>
          </w:p>
        </w:tc>
        <w:tc>
          <w:tcPr>
            <w:tcW w:w="2448" w:type="dxa"/>
          </w:tcPr>
          <w:p w14:paraId="5E86C97E"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Accesión</w:t>
            </w:r>
          </w:p>
        </w:tc>
        <w:tc>
          <w:tcPr>
            <w:tcW w:w="2448" w:type="dxa"/>
          </w:tcPr>
          <w:p w14:paraId="73ECD8A9"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aa</w:t>
            </w:r>
          </w:p>
        </w:tc>
        <w:tc>
          <w:tcPr>
            <w:tcW w:w="2448" w:type="dxa"/>
          </w:tcPr>
          <w:p w14:paraId="6040CF31" w14:textId="77777777" w:rsidR="008C0EC2" w:rsidRPr="00C44ABB" w:rsidRDefault="00000000">
            <w:pPr>
              <w:cnfStyle w:val="100000000000" w:firstRow="1" w:lastRow="0" w:firstColumn="0" w:lastColumn="0" w:oddVBand="0" w:evenVBand="0" w:oddHBand="0" w:evenHBand="0" w:firstRowFirstColumn="0" w:firstRowLastColumn="0" w:lastRowFirstColumn="0" w:lastRowLastColumn="0"/>
              <w:rPr>
                <w:lang w:val="es-ES"/>
              </w:rPr>
            </w:pPr>
            <w:r w:rsidRPr="00C44ABB">
              <w:rPr>
                <w:sz w:val="17"/>
                <w:lang w:val="es-ES"/>
              </w:rPr>
              <w:t xml:space="preserve">Identidad con el ortólogo de </w:t>
            </w:r>
            <w:r w:rsidRPr="00C44ABB">
              <w:rPr>
                <w:i/>
                <w:sz w:val="17"/>
                <w:lang w:val="es-ES"/>
              </w:rPr>
              <w:t>A. thaliana</w:t>
            </w:r>
          </w:p>
        </w:tc>
      </w:tr>
      <w:tr w:rsidR="008C0EC2" w14:paraId="465A8482"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06217A0" w14:textId="77777777" w:rsidR="008C0EC2" w:rsidRDefault="00000000">
            <w:r>
              <w:rPr>
                <w:sz w:val="17"/>
              </w:rPr>
              <w:t>NFS1 (mitocondrial, vía ISC)</w:t>
            </w:r>
          </w:p>
        </w:tc>
        <w:tc>
          <w:tcPr>
            <w:tcW w:w="2448" w:type="dxa"/>
          </w:tcPr>
          <w:p w14:paraId="5E313136"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7"/>
              </w:rPr>
              <w:t>KAF8057853.1</w:t>
            </w:r>
          </w:p>
        </w:tc>
        <w:tc>
          <w:tcPr>
            <w:tcW w:w="2448" w:type="dxa"/>
          </w:tcPr>
          <w:p w14:paraId="2039C786"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487</w:t>
            </w:r>
          </w:p>
        </w:tc>
        <w:tc>
          <w:tcPr>
            <w:tcW w:w="2448" w:type="dxa"/>
          </w:tcPr>
          <w:p w14:paraId="63A83087"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64,2 %</w:t>
            </w:r>
          </w:p>
        </w:tc>
      </w:tr>
      <w:tr w:rsidR="008C0EC2" w14:paraId="425BA3D9"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99A446C" w14:textId="77777777" w:rsidR="008C0EC2" w:rsidRDefault="00000000">
            <w:r>
              <w:rPr>
                <w:sz w:val="17"/>
              </w:rPr>
              <w:t>NFS2 (plastidial, vía SUF)</w:t>
            </w:r>
          </w:p>
        </w:tc>
        <w:tc>
          <w:tcPr>
            <w:tcW w:w="2448" w:type="dxa"/>
          </w:tcPr>
          <w:p w14:paraId="4E3FAADE"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7"/>
              </w:rPr>
              <w:t>KAF8071197.1</w:t>
            </w:r>
          </w:p>
        </w:tc>
        <w:tc>
          <w:tcPr>
            <w:tcW w:w="2448" w:type="dxa"/>
          </w:tcPr>
          <w:p w14:paraId="7B8AD2FF"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521</w:t>
            </w:r>
          </w:p>
        </w:tc>
        <w:tc>
          <w:tcPr>
            <w:tcW w:w="2448" w:type="dxa"/>
          </w:tcPr>
          <w:p w14:paraId="17CD845D"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58,1 %</w:t>
            </w:r>
          </w:p>
        </w:tc>
      </w:tr>
    </w:tbl>
    <w:p w14:paraId="50A9A149" w14:textId="77777777" w:rsidR="008C0EC2" w:rsidRDefault="008C0EC2"/>
    <w:p w14:paraId="169D451D" w14:textId="77777777" w:rsidR="008C0EC2" w:rsidRPr="00C44ABB" w:rsidRDefault="00000000">
      <w:pPr>
        <w:rPr>
          <w:lang w:val="es-ES"/>
        </w:rPr>
      </w:pPr>
      <w:r w:rsidRPr="00C44ABB">
        <w:rPr>
          <w:lang w:val="es-ES"/>
        </w:rPr>
        <w:t xml:space="preserve">Es decir: la NFS2 de PABB004 </w:t>
      </w:r>
      <w:r w:rsidRPr="00C44ABB">
        <w:rPr>
          <w:b/>
          <w:lang w:val="es-ES"/>
        </w:rPr>
        <w:t>ya estaba anotada y era correcta</w:t>
      </w:r>
      <w:r w:rsidRPr="00C44ABB">
        <w:rPr>
          <w:lang w:val="es-ES"/>
        </w:rPr>
        <w:t xml:space="preserve">. El locus </w:t>
      </w:r>
      <w:r w:rsidRPr="00C44ABB">
        <w:rPr>
          <w:rFonts w:ascii="Consolas" w:hAnsi="Consolas"/>
          <w:sz w:val="18"/>
          <w:lang w:val="es-ES"/>
        </w:rPr>
        <w:t>HT031_001280</w:t>
      </w:r>
      <w:r w:rsidRPr="00C44ABB">
        <w:rPr>
          <w:lang w:val="es-ES"/>
        </w:rPr>
        <w:t>, 1.669.642–1.671.931, cuatro exones.</w:t>
      </w:r>
    </w:p>
    <w:p w14:paraId="2A7129FA" w14:textId="77777777" w:rsidR="008C0EC2" w:rsidRDefault="00000000">
      <w:pPr>
        <w:jc w:val="center"/>
      </w:pPr>
      <w:r>
        <w:rPr>
          <w:noProof/>
        </w:rPr>
        <w:drawing>
          <wp:inline distT="0" distB="0" distL="0" distR="0" wp14:anchorId="3947DEE8" wp14:editId="153F36DD">
            <wp:extent cx="5120640" cy="707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tenia_original.png"/>
                    <pic:cNvPicPr/>
                  </pic:nvPicPr>
                  <pic:blipFill>
                    <a:blip r:embed="rId9"/>
                    <a:stretch>
                      <a:fillRect/>
                    </a:stretch>
                  </pic:blipFill>
                  <pic:spPr>
                    <a:xfrm>
                      <a:off x="0" y="0"/>
                      <a:ext cx="5120640" cy="707089"/>
                    </a:xfrm>
                    <a:prstGeom prst="rect">
                      <a:avLst/>
                    </a:prstGeom>
                  </pic:spPr>
                </pic:pic>
              </a:graphicData>
            </a:graphic>
          </wp:inline>
        </w:drawing>
      </w:r>
    </w:p>
    <w:p w14:paraId="52641763" w14:textId="77777777" w:rsidR="008C0EC2" w:rsidRPr="00C44ABB" w:rsidRDefault="00000000">
      <w:pPr>
        <w:jc w:val="center"/>
        <w:rPr>
          <w:lang w:val="es-ES"/>
        </w:rPr>
      </w:pPr>
      <w:r w:rsidRPr="00C44ABB">
        <w:rPr>
          <w:i/>
          <w:color w:val="555555"/>
          <w:sz w:val="17"/>
          <w:lang w:val="es-ES"/>
        </w:rPr>
        <w:t>Estructura del locus de NFS2 en el genoma de PABB004</w:t>
      </w:r>
    </w:p>
    <w:p w14:paraId="64E21A50" w14:textId="77777777" w:rsidR="008C0EC2" w:rsidRPr="00C44ABB" w:rsidRDefault="00000000">
      <w:pPr>
        <w:rPr>
          <w:lang w:val="es-ES"/>
        </w:rPr>
      </w:pPr>
      <w:r w:rsidRPr="00C44ABB">
        <w:rPr>
          <w:b/>
          <w:lang w:val="es-ES"/>
        </w:rPr>
        <w:t>La pregunta cambió.</w:t>
      </w:r>
      <w:r w:rsidRPr="00C44ABB">
        <w:rPr>
          <w:lang w:val="es-ES"/>
        </w:rPr>
        <w:t xml:space="preserve"> Si </w:t>
      </w:r>
      <w:r w:rsidRPr="00C44ABB">
        <w:rPr>
          <w:rFonts w:ascii="Consolas" w:hAnsi="Consolas"/>
          <w:sz w:val="18"/>
          <w:lang w:val="es-ES"/>
        </w:rPr>
        <w:t>KAF8071197.1</w:t>
      </w:r>
      <w:r w:rsidRPr="00C44ABB">
        <w:rPr>
          <w:lang w:val="es-ES"/>
        </w:rPr>
        <w:t xml:space="preserve"> es la NFS2, ¿qué es "HText"? Y si HText se parece tanto al cebo de Chlamydomonas, ¿qué es el cebo?</w:t>
      </w:r>
    </w:p>
    <w:p w14:paraId="511857BD" w14:textId="77777777" w:rsidR="008C0EC2" w:rsidRPr="00C44ABB" w:rsidRDefault="008C0EC2">
      <w:pPr>
        <w:rPr>
          <w:lang w:val="es-ES"/>
        </w:rPr>
      </w:pPr>
    </w:p>
    <w:p w14:paraId="2DEABDFC" w14:textId="77777777" w:rsidR="008C0EC2" w:rsidRPr="00C44ABB" w:rsidRDefault="00000000">
      <w:pPr>
        <w:pStyle w:val="Heading2"/>
        <w:rPr>
          <w:lang w:val="es-ES"/>
        </w:rPr>
      </w:pPr>
      <w:r w:rsidRPr="00C44ABB">
        <w:rPr>
          <w:lang w:val="es-ES"/>
        </w:rPr>
        <w:t>2.4 — Modelado estructural y localización: primeras señales contradictorias ⚠</w:t>
      </w:r>
    </w:p>
    <w:p w14:paraId="21873B99" w14:textId="77777777" w:rsidR="008C0EC2" w:rsidRPr="00C44ABB" w:rsidRDefault="00000000">
      <w:pPr>
        <w:rPr>
          <w:lang w:val="es-ES"/>
        </w:rPr>
      </w:pPr>
      <w:r w:rsidRPr="00C44ABB">
        <w:rPr>
          <w:b/>
          <w:lang w:val="es-ES"/>
        </w:rPr>
        <w:t>Qué se hizo.</w:t>
      </w:r>
      <w:r w:rsidRPr="00C44ABB">
        <w:rPr>
          <w:lang w:val="es-ES"/>
        </w:rPr>
        <w:t xml:space="preserve"> Modelo de AlphaFold2 de HText recortado; DeepLoc 2.1 y LOCALIZER para predecir destino subcelular; superposición en PyMOL contra IscS de </w:t>
      </w:r>
      <w:r w:rsidRPr="00C44ABB">
        <w:rPr>
          <w:i/>
          <w:lang w:val="es-ES"/>
        </w:rPr>
        <w:t>E. coli</w:t>
      </w:r>
      <w:r w:rsidRPr="00C44ABB">
        <w:rPr>
          <w:lang w:val="es-ES"/>
        </w:rPr>
        <w:t>.</w:t>
      </w:r>
    </w:p>
    <w:p w14:paraId="5C062842" w14:textId="77777777" w:rsidR="008C0EC2" w:rsidRPr="00C44ABB" w:rsidRDefault="00000000">
      <w:pPr>
        <w:rPr>
          <w:lang w:val="es-ES"/>
        </w:rPr>
      </w:pPr>
      <w:r w:rsidRPr="00C44ABB">
        <w:rPr>
          <w:b/>
          <w:lang w:val="es-ES"/>
        </w:rPr>
        <w:t>Qué dio.</w:t>
      </w:r>
    </w:p>
    <w:p w14:paraId="73435759" w14:textId="77777777" w:rsidR="008C0EC2" w:rsidRPr="00C44ABB" w:rsidRDefault="00000000">
      <w:pPr>
        <w:rPr>
          <w:lang w:val="es-ES"/>
        </w:rPr>
      </w:pPr>
      <w:r w:rsidRPr="00C44ABB">
        <w:rPr>
          <w:lang w:val="es-ES"/>
        </w:rPr>
        <w:t xml:space="preserve">El modelo de AlphaFold mostró el plegamiento de aminotransferasa clase V (tipo I de fold PLP) bien resuelto, pero con </w:t>
      </w:r>
      <w:r w:rsidRPr="00C44ABB">
        <w:rPr>
          <w:b/>
          <w:lang w:val="es-ES"/>
        </w:rPr>
        <w:t>~125 residuos N-terminales de confianza nula</w:t>
      </w:r>
      <w:r w:rsidRPr="00C44ABB">
        <w:rPr>
          <w:lang w:val="es-ES"/>
        </w:rPr>
        <w:t xml:space="preserve"> colgando como un lazo desordenado — consecuencia directa del recorte manual del §2.2.</w:t>
      </w:r>
    </w:p>
    <w:p w14:paraId="797AD655" w14:textId="77777777" w:rsidR="008C0EC2" w:rsidRDefault="00000000">
      <w:pPr>
        <w:jc w:val="center"/>
      </w:pPr>
      <w:r>
        <w:rPr>
          <w:noProof/>
        </w:rPr>
        <w:lastRenderedPageBreak/>
        <w:drawing>
          <wp:inline distT="0" distB="0" distL="0" distR="0" wp14:anchorId="35286D4A" wp14:editId="6AF581C7">
            <wp:extent cx="5120640" cy="28229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fold_HText_original.png"/>
                    <pic:cNvPicPr/>
                  </pic:nvPicPr>
                  <pic:blipFill>
                    <a:blip r:embed="rId10"/>
                    <a:stretch>
                      <a:fillRect/>
                    </a:stretch>
                  </pic:blipFill>
                  <pic:spPr>
                    <a:xfrm>
                      <a:off x="0" y="0"/>
                      <a:ext cx="5120640" cy="2822917"/>
                    </a:xfrm>
                    <a:prstGeom prst="rect">
                      <a:avLst/>
                    </a:prstGeom>
                  </pic:spPr>
                </pic:pic>
              </a:graphicData>
            </a:graphic>
          </wp:inline>
        </w:drawing>
      </w:r>
    </w:p>
    <w:p w14:paraId="787D7562" w14:textId="77777777" w:rsidR="008C0EC2" w:rsidRPr="00C44ABB" w:rsidRDefault="00000000">
      <w:pPr>
        <w:jc w:val="center"/>
        <w:rPr>
          <w:lang w:val="es-ES"/>
        </w:rPr>
      </w:pPr>
      <w:r w:rsidRPr="00C44ABB">
        <w:rPr>
          <w:i/>
          <w:color w:val="555555"/>
          <w:sz w:val="17"/>
          <w:lang w:val="es-ES"/>
        </w:rPr>
        <w:t>Modelo de AlphaFold de HText con el extremo N-terminal desordenado</w:t>
      </w:r>
    </w:p>
    <w:p w14:paraId="000D3035" w14:textId="77777777" w:rsidR="008C0EC2" w:rsidRPr="00C44ABB" w:rsidRDefault="00000000">
      <w:pPr>
        <w:rPr>
          <w:lang w:val="es-ES"/>
        </w:rPr>
      </w:pPr>
      <w:r w:rsidRPr="00C44ABB">
        <w:rPr>
          <w:lang w:val="es-ES"/>
        </w:rPr>
        <w:t>La superposición contra IscS dio un núcleo catalítico prácticamente idéntico y dos extremos divergentes:</w:t>
      </w:r>
    </w:p>
    <w:p w14:paraId="14FF219F" w14:textId="77777777" w:rsidR="008C0EC2" w:rsidRDefault="00000000">
      <w:pPr>
        <w:jc w:val="center"/>
      </w:pPr>
      <w:r>
        <w:rPr>
          <w:noProof/>
        </w:rPr>
        <w:drawing>
          <wp:inline distT="0" distB="0" distL="0" distR="0" wp14:anchorId="67809D96" wp14:editId="4C2A6BB8">
            <wp:extent cx="5120640" cy="24278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mol_HText_vs_IscS.png"/>
                    <pic:cNvPicPr/>
                  </pic:nvPicPr>
                  <pic:blipFill>
                    <a:blip r:embed="rId11"/>
                    <a:stretch>
                      <a:fillRect/>
                    </a:stretch>
                  </pic:blipFill>
                  <pic:spPr>
                    <a:xfrm>
                      <a:off x="0" y="0"/>
                      <a:ext cx="5120640" cy="2427803"/>
                    </a:xfrm>
                    <a:prstGeom prst="rect">
                      <a:avLst/>
                    </a:prstGeom>
                  </pic:spPr>
                </pic:pic>
              </a:graphicData>
            </a:graphic>
          </wp:inline>
        </w:drawing>
      </w:r>
    </w:p>
    <w:p w14:paraId="1AB9855E" w14:textId="77777777" w:rsidR="008C0EC2" w:rsidRPr="00C44ABB" w:rsidRDefault="00000000">
      <w:pPr>
        <w:jc w:val="center"/>
        <w:rPr>
          <w:lang w:val="es-ES"/>
        </w:rPr>
      </w:pPr>
      <w:r w:rsidRPr="00C44ABB">
        <w:rPr>
          <w:i/>
          <w:color w:val="555555"/>
          <w:sz w:val="17"/>
          <w:lang w:val="es-ES"/>
        </w:rPr>
        <w:t>Superposición de HText (azul) contra IscS de E. coli (naranja)</w:t>
      </w:r>
    </w:p>
    <w:p w14:paraId="5A3E158C" w14:textId="77777777" w:rsidR="008C0EC2" w:rsidRPr="00C44ABB" w:rsidRDefault="00000000">
      <w:pPr>
        <w:rPr>
          <w:lang w:val="es-ES"/>
        </w:rPr>
      </w:pPr>
      <w:r w:rsidRPr="00C44ABB">
        <w:rPr>
          <w:lang w:val="es-ES"/>
        </w:rPr>
        <w:t xml:space="preserve">Y DeepLoc dio </w:t>
      </w:r>
      <w:r w:rsidRPr="00C44ABB">
        <w:rPr>
          <w:b/>
          <w:lang w:val="es-ES"/>
        </w:rPr>
        <w:t>plástido con probabilidad 0,9477</w:t>
      </w:r>
      <w:r w:rsidRPr="00C44ABB">
        <w:rPr>
          <w:lang w:val="es-ES"/>
        </w:rPr>
        <w:t xml:space="preserve"> para HText:</w:t>
      </w:r>
    </w:p>
    <w:p w14:paraId="1ACD7E8B" w14:textId="77777777" w:rsidR="008C0EC2" w:rsidRDefault="00000000">
      <w:pPr>
        <w:jc w:val="center"/>
      </w:pPr>
      <w:r>
        <w:rPr>
          <w:noProof/>
        </w:rPr>
        <w:drawing>
          <wp:inline distT="0" distB="0" distL="0" distR="0" wp14:anchorId="12733EB9" wp14:editId="6A3A009E">
            <wp:extent cx="5120640" cy="14744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oc_HText_recorte_original.png"/>
                    <pic:cNvPicPr/>
                  </pic:nvPicPr>
                  <pic:blipFill>
                    <a:blip r:embed="rId12"/>
                    <a:stretch>
                      <a:fillRect/>
                    </a:stretch>
                  </pic:blipFill>
                  <pic:spPr>
                    <a:xfrm>
                      <a:off x="0" y="0"/>
                      <a:ext cx="5120640" cy="1474481"/>
                    </a:xfrm>
                    <a:prstGeom prst="rect">
                      <a:avLst/>
                    </a:prstGeom>
                  </pic:spPr>
                </pic:pic>
              </a:graphicData>
            </a:graphic>
          </wp:inline>
        </w:drawing>
      </w:r>
    </w:p>
    <w:p w14:paraId="587C5670" w14:textId="77777777" w:rsidR="008C0EC2" w:rsidRPr="00C44ABB" w:rsidRDefault="00000000">
      <w:pPr>
        <w:jc w:val="center"/>
        <w:rPr>
          <w:lang w:val="es-ES"/>
        </w:rPr>
      </w:pPr>
      <w:r w:rsidRPr="00C44ABB">
        <w:rPr>
          <w:i/>
          <w:color w:val="555555"/>
          <w:sz w:val="17"/>
          <w:lang w:val="es-ES"/>
        </w:rPr>
        <w:t>Predicción de localización de HText sobre el recorte original</w:t>
      </w:r>
    </w:p>
    <w:p w14:paraId="350CEC84" w14:textId="77777777" w:rsidR="008C0EC2" w:rsidRDefault="00000000">
      <w:pPr>
        <w:jc w:val="center"/>
      </w:pPr>
      <w:r>
        <w:rPr>
          <w:noProof/>
        </w:rPr>
        <w:lastRenderedPageBreak/>
        <w:drawing>
          <wp:inline distT="0" distB="0" distL="0" distR="0" wp14:anchorId="4E369D31" wp14:editId="20393AF1">
            <wp:extent cx="5120640" cy="7623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b1fd2fa3_localizer_salida_cruda.png"/>
                    <pic:cNvPicPr/>
                  </pic:nvPicPr>
                  <pic:blipFill>
                    <a:blip r:embed="rId13"/>
                    <a:stretch>
                      <a:fillRect/>
                    </a:stretch>
                  </pic:blipFill>
                  <pic:spPr>
                    <a:xfrm>
                      <a:off x="0" y="0"/>
                      <a:ext cx="5120640" cy="762378"/>
                    </a:xfrm>
                    <a:prstGeom prst="rect">
                      <a:avLst/>
                    </a:prstGeom>
                  </pic:spPr>
                </pic:pic>
              </a:graphicData>
            </a:graphic>
          </wp:inline>
        </w:drawing>
      </w:r>
    </w:p>
    <w:p w14:paraId="4BDA5806" w14:textId="77777777" w:rsidR="008C0EC2" w:rsidRPr="00C44ABB" w:rsidRDefault="00000000">
      <w:pPr>
        <w:jc w:val="center"/>
        <w:rPr>
          <w:lang w:val="es-ES"/>
        </w:rPr>
      </w:pPr>
      <w:r w:rsidRPr="00C44ABB">
        <w:rPr>
          <w:i/>
          <w:color w:val="555555"/>
          <w:sz w:val="17"/>
          <w:lang w:val="es-ES"/>
        </w:rPr>
        <w:t>Salida de LOCALIZER</w:t>
      </w:r>
    </w:p>
    <w:p w14:paraId="126FB061" w14:textId="77777777" w:rsidR="008C0EC2" w:rsidRPr="00C44ABB" w:rsidRDefault="00000000">
      <w:pPr>
        <w:rPr>
          <w:lang w:val="es-ES"/>
        </w:rPr>
      </w:pPr>
      <w:r w:rsidRPr="00C44ABB">
        <w:rPr>
          <w:b/>
          <w:lang w:val="es-ES"/>
        </w:rPr>
        <w:t>⚠ Este resultado era un artefacto.</w:t>
      </w:r>
      <w:r w:rsidRPr="00C44ABB">
        <w:rPr>
          <w:lang w:val="es-ES"/>
        </w:rPr>
        <w:t xml:space="preserve"> El recorte del §2.2 empezaba en una región de baja complejidad rica en Ser/Arg/Ala que </w:t>
      </w:r>
      <w:r w:rsidRPr="00C44ABB">
        <w:rPr>
          <w:b/>
          <w:lang w:val="es-ES"/>
        </w:rPr>
        <w:t>imita un péptido de tránsito al cloroplasto</w:t>
      </w:r>
      <w:r w:rsidRPr="00C44ABB">
        <w:rPr>
          <w:lang w:val="es-ES"/>
        </w:rPr>
        <w:t xml:space="preserve">. DeepLoc leyó eso como señal plastidial. Cuando en §2.10 se corrió el panel completo con controles de destino conocido, el clado SCLY-like dio mediana de plástido </w:t>
      </w:r>
      <w:r w:rsidRPr="00C44ABB">
        <w:rPr>
          <w:b/>
          <w:lang w:val="es-ES"/>
        </w:rPr>
        <w:t>0,13</w:t>
      </w:r>
      <w:r w:rsidRPr="00C44ABB">
        <w:rPr>
          <w:lang w:val="es-ES"/>
        </w:rPr>
        <w:t xml:space="preserve"> y sólo 2 de 61 secuencias se predijeron plastidiales.</w:t>
      </w:r>
    </w:p>
    <w:p w14:paraId="61CE36AE" w14:textId="77777777" w:rsidR="008C0EC2" w:rsidRPr="00C44ABB" w:rsidRDefault="00000000">
      <w:pPr>
        <w:rPr>
          <w:lang w:val="es-ES"/>
        </w:rPr>
      </w:pPr>
      <w:r w:rsidRPr="00C44ABB">
        <w:rPr>
          <w:b/>
          <w:lang w:val="es-ES"/>
        </w:rPr>
        <w:t>Lección metodológica que quedó como norma del proyecto.</w:t>
      </w:r>
      <w:r w:rsidRPr="00C44ABB">
        <w:rPr>
          <w:lang w:val="es-ES"/>
        </w:rPr>
        <w:t xml:space="preserve"> Un predictor de localización corrido sobre una secuencia de límites inciertos no es evidencia. Desde acá en adelante, toda corrida de predictor lleva </w:t>
      </w:r>
      <w:r w:rsidRPr="00C44ABB">
        <w:rPr>
          <w:b/>
          <w:lang w:val="es-ES"/>
        </w:rPr>
        <w:t>panel de control de destino conocido</w:t>
      </w:r>
      <w:r w:rsidRPr="00C44ABB">
        <w:rPr>
          <w:lang w:val="es-ES"/>
        </w:rPr>
        <w:t xml:space="preserve"> obligatorio.</w:t>
      </w:r>
    </w:p>
    <w:p w14:paraId="3F1488F4" w14:textId="77777777" w:rsidR="008C0EC2" w:rsidRPr="00C44ABB" w:rsidRDefault="008C0EC2">
      <w:pPr>
        <w:rPr>
          <w:lang w:val="es-ES"/>
        </w:rPr>
      </w:pPr>
    </w:p>
    <w:p w14:paraId="11D6C705" w14:textId="77777777" w:rsidR="008C0EC2" w:rsidRPr="00C44ABB" w:rsidRDefault="00000000">
      <w:pPr>
        <w:pStyle w:val="Heading2"/>
        <w:rPr>
          <w:lang w:val="es-ES"/>
        </w:rPr>
      </w:pPr>
      <w:r w:rsidRPr="00C44ABB">
        <w:rPr>
          <w:lang w:val="es-ES"/>
        </w:rPr>
        <w:t>2.5 — El árbol que no cerraba: punto de inflexión ⚠</w:t>
      </w:r>
    </w:p>
    <w:p w14:paraId="779DBE24" w14:textId="77777777" w:rsidR="008C0EC2" w:rsidRPr="00C44ABB" w:rsidRDefault="00000000">
      <w:pPr>
        <w:rPr>
          <w:lang w:val="es-ES"/>
        </w:rPr>
      </w:pPr>
      <w:r w:rsidRPr="00C44ABB">
        <w:rPr>
          <w:b/>
          <w:lang w:val="es-ES"/>
        </w:rPr>
        <w:t>Qué se hizo.</w:t>
      </w:r>
      <w:r w:rsidRPr="00C44ABB">
        <w:rPr>
          <w:lang w:val="es-ES"/>
        </w:rPr>
        <w:t xml:space="preserve"> Árbol preliminar en MEGA con HText, NFS2-PABB, ortólogos vegetales, bacterias, cianobacterias y arqueas.</w:t>
      </w:r>
    </w:p>
    <w:p w14:paraId="7994552C" w14:textId="77777777" w:rsidR="008C0EC2" w:rsidRDefault="00000000">
      <w:r>
        <w:rPr>
          <w:b/>
        </w:rPr>
        <w:t>Qué dio.</w:t>
      </w:r>
    </w:p>
    <w:p w14:paraId="4A9480FB" w14:textId="77777777" w:rsidR="008C0EC2" w:rsidRDefault="00000000">
      <w:pPr>
        <w:jc w:val="center"/>
      </w:pPr>
      <w:r>
        <w:rPr>
          <w:noProof/>
        </w:rPr>
        <w:drawing>
          <wp:inline distT="0" distB="0" distL="0" distR="0" wp14:anchorId="4E96F6BB" wp14:editId="10845335">
            <wp:extent cx="5120640" cy="17669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MEGA_preliminar.png"/>
                    <pic:cNvPicPr/>
                  </pic:nvPicPr>
                  <pic:blipFill>
                    <a:blip r:embed="rId14"/>
                    <a:stretch>
                      <a:fillRect/>
                    </a:stretch>
                  </pic:blipFill>
                  <pic:spPr>
                    <a:xfrm>
                      <a:off x="0" y="0"/>
                      <a:ext cx="5120640" cy="1766981"/>
                    </a:xfrm>
                    <a:prstGeom prst="rect">
                      <a:avLst/>
                    </a:prstGeom>
                  </pic:spPr>
                </pic:pic>
              </a:graphicData>
            </a:graphic>
          </wp:inline>
        </w:drawing>
      </w:r>
    </w:p>
    <w:p w14:paraId="3E24EABC" w14:textId="77777777" w:rsidR="008C0EC2" w:rsidRPr="00C44ABB" w:rsidRDefault="00000000">
      <w:pPr>
        <w:jc w:val="center"/>
        <w:rPr>
          <w:lang w:val="es-ES"/>
        </w:rPr>
      </w:pPr>
      <w:r w:rsidRPr="00C44ABB">
        <w:rPr>
          <w:i/>
          <w:color w:val="555555"/>
          <w:sz w:val="17"/>
          <w:lang w:val="es-ES"/>
        </w:rPr>
        <w:t>Árbol preliminar en MEGA</w:t>
      </w:r>
    </w:p>
    <w:p w14:paraId="294E0810" w14:textId="77777777" w:rsidR="008C0EC2" w:rsidRPr="00C44ABB" w:rsidRDefault="00000000">
      <w:pPr>
        <w:rPr>
          <w:lang w:val="es-ES"/>
        </w:rPr>
      </w:pPr>
      <w:r w:rsidRPr="00C44ABB">
        <w:rPr>
          <w:lang w:val="es-ES"/>
        </w:rPr>
        <w:t xml:space="preserve">HText </w:t>
      </w:r>
      <w:r w:rsidRPr="00C44ABB">
        <w:rPr>
          <w:b/>
          <w:lang w:val="es-ES"/>
        </w:rPr>
        <w:t>no caía con las NFS2 vegetales</w:t>
      </w:r>
      <w:r w:rsidRPr="00C44ABB">
        <w:rPr>
          <w:lang w:val="es-ES"/>
        </w:rPr>
        <w:t xml:space="preserve">. Caía al lado del grupo bacteriano/arqueano, con soporte bajo (70–78), mientras que NFS2-PABB caía exactamente donde debía, con las NFS2 plastidiales de </w:t>
      </w:r>
      <w:r w:rsidRPr="00C44ABB">
        <w:rPr>
          <w:i/>
          <w:lang w:val="es-ES"/>
        </w:rPr>
        <w:t>Arabidopsis</w:t>
      </w:r>
      <w:r w:rsidRPr="00C44ABB">
        <w:rPr>
          <w:lang w:val="es-ES"/>
        </w:rPr>
        <w:t xml:space="preserve"> y </w:t>
      </w:r>
      <w:r w:rsidRPr="00C44ABB">
        <w:rPr>
          <w:i/>
          <w:lang w:val="es-ES"/>
        </w:rPr>
        <w:t>Zea</w:t>
      </w:r>
      <w:r w:rsidRPr="00C44ABB">
        <w:rPr>
          <w:lang w:val="es-ES"/>
        </w:rPr>
        <w:t>. Si HText fuera una segunda NFS2, tenía que agrupar con las NFS2. No lo hacía.</w:t>
      </w:r>
    </w:p>
    <w:p w14:paraId="31981884" w14:textId="77777777" w:rsidR="008C0EC2" w:rsidRPr="00C44ABB" w:rsidRDefault="00000000">
      <w:pPr>
        <w:rPr>
          <w:lang w:val="es-ES"/>
        </w:rPr>
      </w:pPr>
      <w:r w:rsidRPr="00C44ABB">
        <w:rPr>
          <w:b/>
          <w:lang w:val="es-ES"/>
        </w:rPr>
        <w:t>Por qué este árbol no alcanzaba para concluir.</w:t>
      </w:r>
      <w:r w:rsidRPr="00C44ABB">
        <w:rPr>
          <w:lang w:val="es-ES"/>
        </w:rPr>
        <w:t xml:space="preserve"> Pocos taxones, alineamiento sobre secuencias completas (incluyendo extensiones no homólogas), soportes bajos. Un árbol así levanta sospecha, no cierra un caso. Pero la sospecha fue la correcta.</w:t>
      </w:r>
    </w:p>
    <w:p w14:paraId="32F15D77" w14:textId="77777777" w:rsidR="008C0EC2" w:rsidRPr="00C44ABB" w:rsidRDefault="00000000">
      <w:pPr>
        <w:rPr>
          <w:lang w:val="es-ES"/>
        </w:rPr>
      </w:pPr>
      <w:r w:rsidRPr="00C44ABB">
        <w:rPr>
          <w:b/>
          <w:lang w:val="es-ES"/>
        </w:rPr>
        <w:t>Decisión tomada acá:</w:t>
      </w:r>
      <w:r w:rsidRPr="00C44ABB">
        <w:rPr>
          <w:lang w:val="es-ES"/>
        </w:rPr>
        <w:t xml:space="preserve"> rehacer el análisis de cero, con un muestreo sistemático y con un criterio de asignación que no dependa del árbol.</w:t>
      </w:r>
    </w:p>
    <w:p w14:paraId="709B6C14" w14:textId="77777777" w:rsidR="008C0EC2" w:rsidRPr="00C44ABB" w:rsidRDefault="008C0EC2">
      <w:pPr>
        <w:rPr>
          <w:lang w:val="es-ES"/>
        </w:rPr>
      </w:pPr>
    </w:p>
    <w:p w14:paraId="158E30E8" w14:textId="77777777" w:rsidR="008C0EC2" w:rsidRPr="00C44ABB" w:rsidRDefault="00000000">
      <w:pPr>
        <w:pStyle w:val="Heading2"/>
        <w:rPr>
          <w:lang w:val="es-ES"/>
        </w:rPr>
      </w:pPr>
      <w:r w:rsidRPr="00C44ABB">
        <w:rPr>
          <w:lang w:val="es-ES"/>
        </w:rPr>
        <w:lastRenderedPageBreak/>
        <w:t>2.6 — La reasignación: el bucle catalítico</w:t>
      </w:r>
    </w:p>
    <w:p w14:paraId="0AF6EEA7" w14:textId="77777777" w:rsidR="008C0EC2" w:rsidRPr="00C44ABB" w:rsidRDefault="00000000">
      <w:pPr>
        <w:rPr>
          <w:lang w:val="es-ES"/>
        </w:rPr>
      </w:pPr>
      <w:r w:rsidRPr="00C44ABB">
        <w:rPr>
          <w:b/>
          <w:lang w:val="es-ES"/>
        </w:rPr>
        <w:t>Qué se hizo.</w:t>
      </w:r>
      <w:r w:rsidRPr="00C44ABB">
        <w:rPr>
          <w:lang w:val="es-ES"/>
        </w:rPr>
        <w:t xml:space="preserve"> En lugar de confiar en BLAST, en el árbol o en el TM-score, se fue al </w:t>
      </w:r>
      <w:r w:rsidRPr="00C44ABB">
        <w:rPr>
          <w:b/>
          <w:lang w:val="es-ES"/>
        </w:rPr>
        <w:t>bucle catalítico</w:t>
      </w:r>
      <w:r w:rsidRPr="00C44ABB">
        <w:rPr>
          <w:lang w:val="es-ES"/>
        </w:rPr>
        <w:t xml:space="preserve"> — los ~10 residuos que rodean la cisteína del sitio activo, que es donde las tres subfamilias de cisteína desulfurasas se diferencian funcionalmente.</w:t>
      </w:r>
    </w:p>
    <w:p w14:paraId="3E2E4340" w14:textId="77777777" w:rsidR="008C0EC2" w:rsidRPr="00C44ABB" w:rsidRDefault="00000000">
      <w:pPr>
        <w:rPr>
          <w:lang w:val="es-ES"/>
        </w:rPr>
      </w:pPr>
      <w:r w:rsidRPr="00C44ABB">
        <w:rPr>
          <w:b/>
          <w:lang w:val="es-ES"/>
        </w:rPr>
        <w:t>Por qué ese criterio y no BLAST / árbol / estructura.</w:t>
      </w:r>
    </w:p>
    <w:p w14:paraId="0FD6CC23" w14:textId="77777777" w:rsidR="008C0EC2" w:rsidRPr="00C44ABB" w:rsidRDefault="00000000">
      <w:pPr>
        <w:pStyle w:val="ListBullet"/>
        <w:rPr>
          <w:lang w:val="es-ES"/>
        </w:rPr>
      </w:pPr>
      <w:r w:rsidRPr="00C44ABB">
        <w:rPr>
          <w:b/>
          <w:lang w:val="es-ES"/>
        </w:rPr>
        <w:t>BLAST</w:t>
      </w:r>
      <w:r w:rsidRPr="00C44ABB">
        <w:rPr>
          <w:lang w:val="es-ES"/>
        </w:rPr>
        <w:t xml:space="preserve"> devuelve el pariente más parecido en la base, que puede estar mal anotado (fue exactamente lo que pasó: el cebo estaba mal etiquetado y el error se propagó).</w:t>
      </w:r>
    </w:p>
    <w:p w14:paraId="3E62250B" w14:textId="77777777" w:rsidR="008C0EC2" w:rsidRDefault="00000000">
      <w:pPr>
        <w:pStyle w:val="ListBullet"/>
      </w:pPr>
      <w:r w:rsidRPr="00C44ABB">
        <w:rPr>
          <w:b/>
          <w:lang w:val="es-ES"/>
        </w:rPr>
        <w:t>TM-score global</w:t>
      </w:r>
      <w:r w:rsidRPr="00C44ABB">
        <w:rPr>
          <w:lang w:val="es-ES"/>
        </w:rPr>
        <w:t xml:space="preserve"> no sirve: todas las aminotransferasas clase V comparten el mismo plegamiento y dan 0,65–0,95 entre sí. </w:t>
      </w:r>
      <w:r>
        <w:t>Es un criterio que no discrimina.</w:t>
      </w:r>
    </w:p>
    <w:p w14:paraId="5633F807" w14:textId="77777777" w:rsidR="008C0EC2" w:rsidRPr="00C44ABB" w:rsidRDefault="00000000">
      <w:pPr>
        <w:pStyle w:val="ListBullet"/>
        <w:rPr>
          <w:lang w:val="es-ES"/>
        </w:rPr>
      </w:pPr>
      <w:r w:rsidRPr="00C44ABB">
        <w:rPr>
          <w:b/>
          <w:lang w:val="es-ES"/>
        </w:rPr>
        <w:t>El árbol</w:t>
      </w:r>
      <w:r w:rsidRPr="00C44ABB">
        <w:rPr>
          <w:lang w:val="es-ES"/>
        </w:rPr>
        <w:t xml:space="preserve"> depende del muestreo y del alineamiento.</w:t>
      </w:r>
    </w:p>
    <w:p w14:paraId="22BF0700" w14:textId="77777777" w:rsidR="008C0EC2" w:rsidRPr="00C44ABB" w:rsidRDefault="00000000">
      <w:pPr>
        <w:pStyle w:val="ListBullet"/>
        <w:rPr>
          <w:lang w:val="es-ES"/>
        </w:rPr>
      </w:pPr>
      <w:r w:rsidRPr="00C44ABB">
        <w:rPr>
          <w:b/>
          <w:lang w:val="es-ES"/>
        </w:rPr>
        <w:t>El bucle catalítico</w:t>
      </w:r>
      <w:r w:rsidRPr="00C44ABB">
        <w:rPr>
          <w:lang w:val="es-ES"/>
        </w:rPr>
        <w:t xml:space="preserve"> es un carácter discreto, leíble a ojo, con literatura bioquímica detrás: la longitud y composición del bucle determinan si la enzima entrega el azufre a un aceptor directo (grupo I, bucle largo y flexible) o a una proteína transportadora (grupo II, bucle corto).</w:t>
      </w:r>
    </w:p>
    <w:p w14:paraId="157C5867" w14:textId="77777777" w:rsidR="008C0EC2" w:rsidRDefault="00000000">
      <w:r>
        <w:rPr>
          <w:b/>
        </w:rPr>
        <w:t>Qué dio.</w:t>
      </w:r>
    </w:p>
    <w:tbl>
      <w:tblPr>
        <w:tblStyle w:val="LightGrid-Accent1"/>
        <w:tblW w:w="0" w:type="auto"/>
        <w:jc w:val="center"/>
        <w:tblLook w:val="04A0" w:firstRow="1" w:lastRow="0" w:firstColumn="1" w:lastColumn="0" w:noHBand="0" w:noVBand="1"/>
      </w:tblPr>
      <w:tblGrid>
        <w:gridCol w:w="2448"/>
        <w:gridCol w:w="2448"/>
        <w:gridCol w:w="2448"/>
        <w:gridCol w:w="2448"/>
      </w:tblGrid>
      <w:tr w:rsidR="008C0EC2" w14:paraId="4A6B9165"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E58333E" w14:textId="77777777" w:rsidR="008C0EC2" w:rsidRDefault="00000000">
            <w:r>
              <w:rPr>
                <w:sz w:val="17"/>
              </w:rPr>
              <w:t>Grupo</w:t>
            </w:r>
          </w:p>
        </w:tc>
        <w:tc>
          <w:tcPr>
            <w:tcW w:w="2448" w:type="dxa"/>
          </w:tcPr>
          <w:p w14:paraId="78B2CAD4"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Representantes</w:t>
            </w:r>
          </w:p>
        </w:tc>
        <w:tc>
          <w:tcPr>
            <w:tcW w:w="2448" w:type="dxa"/>
          </w:tcPr>
          <w:p w14:paraId="7E1C2A23"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Bucle catalítico</w:t>
            </w:r>
          </w:p>
        </w:tc>
        <w:tc>
          <w:tcPr>
            <w:tcW w:w="2448" w:type="dxa"/>
          </w:tcPr>
          <w:p w14:paraId="19897C20"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Cys catalítica</w:t>
            </w:r>
          </w:p>
        </w:tc>
      </w:tr>
      <w:tr w:rsidR="008C0EC2" w14:paraId="244CC838"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BB5AB42" w14:textId="77777777" w:rsidR="008C0EC2" w:rsidRDefault="00000000">
            <w:r>
              <w:rPr>
                <w:sz w:val="17"/>
              </w:rPr>
              <w:t>I — ISC / NFS1 / IscS</w:t>
            </w:r>
          </w:p>
        </w:tc>
        <w:tc>
          <w:tcPr>
            <w:tcW w:w="2448" w:type="dxa"/>
          </w:tcPr>
          <w:p w14:paraId="2377B51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IscS </w:t>
            </w:r>
            <w:r>
              <w:rPr>
                <w:rFonts w:ascii="Consolas" w:hAnsi="Consolas"/>
                <w:sz w:val="17"/>
              </w:rPr>
              <w:t>P0A6B7</w:t>
            </w:r>
            <w:r>
              <w:rPr>
                <w:sz w:val="17"/>
              </w:rPr>
              <w:t xml:space="preserve">, NFS1 At </w:t>
            </w:r>
            <w:r>
              <w:rPr>
                <w:rFonts w:ascii="Consolas" w:hAnsi="Consolas"/>
                <w:sz w:val="17"/>
              </w:rPr>
              <w:t>O49543</w:t>
            </w:r>
          </w:p>
        </w:tc>
        <w:tc>
          <w:tcPr>
            <w:tcW w:w="2448" w:type="dxa"/>
          </w:tcPr>
          <w:p w14:paraId="426B9424" w14:textId="77777777" w:rsidR="008C0EC2" w:rsidRPr="00C44ABB" w:rsidRDefault="00000000">
            <w:pPr>
              <w:cnfStyle w:val="000000100000" w:firstRow="0" w:lastRow="0" w:firstColumn="0" w:lastColumn="0" w:oddVBand="0" w:evenVBand="0" w:oddHBand="1" w:evenHBand="0" w:firstRowFirstColumn="0" w:firstRowLastColumn="0" w:lastRowFirstColumn="0" w:lastRowLastColumn="0"/>
              <w:rPr>
                <w:lang w:val="pt-BR"/>
              </w:rPr>
            </w:pPr>
            <w:r w:rsidRPr="00C44ABB">
              <w:rPr>
                <w:rFonts w:ascii="Consolas" w:hAnsi="Consolas"/>
                <w:sz w:val="17"/>
                <w:lang w:val="pt-BR"/>
              </w:rPr>
              <w:t>S-S-G-S-A-C-T-S</w:t>
            </w:r>
            <w:r w:rsidRPr="00C44ABB">
              <w:rPr>
                <w:sz w:val="17"/>
                <w:lang w:val="pt-BR"/>
              </w:rPr>
              <w:t xml:space="preserve"> (extendido)</w:t>
            </w:r>
          </w:p>
        </w:tc>
        <w:tc>
          <w:tcPr>
            <w:tcW w:w="2448" w:type="dxa"/>
          </w:tcPr>
          <w:p w14:paraId="341EFFE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Cys328 en IscS</w:t>
            </w:r>
          </w:p>
        </w:tc>
      </w:tr>
      <w:tr w:rsidR="008C0EC2" w14:paraId="02151AF7"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0A9CAC3" w14:textId="77777777" w:rsidR="008C0EC2" w:rsidRDefault="00000000">
            <w:r>
              <w:rPr>
                <w:sz w:val="17"/>
              </w:rPr>
              <w:t>II — SUF / NFS2 / SufS</w:t>
            </w:r>
          </w:p>
        </w:tc>
        <w:tc>
          <w:tcPr>
            <w:tcW w:w="2448" w:type="dxa"/>
          </w:tcPr>
          <w:p w14:paraId="7CD45A1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SufS </w:t>
            </w:r>
            <w:r>
              <w:rPr>
                <w:rFonts w:ascii="Consolas" w:hAnsi="Consolas"/>
                <w:sz w:val="17"/>
              </w:rPr>
              <w:t>P77444</w:t>
            </w:r>
            <w:r>
              <w:rPr>
                <w:sz w:val="17"/>
              </w:rPr>
              <w:t xml:space="preserve">, NFS2 At </w:t>
            </w:r>
            <w:r>
              <w:rPr>
                <w:rFonts w:ascii="Consolas" w:hAnsi="Consolas"/>
                <w:sz w:val="17"/>
              </w:rPr>
              <w:t>Q93WX6</w:t>
            </w:r>
          </w:p>
        </w:tc>
        <w:tc>
          <w:tcPr>
            <w:tcW w:w="2448" w:type="dxa"/>
          </w:tcPr>
          <w:p w14:paraId="799096CA" w14:textId="77777777" w:rsidR="008C0EC2" w:rsidRPr="00C44ABB" w:rsidRDefault="00000000">
            <w:pPr>
              <w:cnfStyle w:val="000000010000" w:firstRow="0" w:lastRow="0" w:firstColumn="0" w:lastColumn="0" w:oddVBand="0" w:evenVBand="0" w:oddHBand="0" w:evenHBand="1" w:firstRowFirstColumn="0" w:firstRowLastColumn="0" w:lastRowFirstColumn="0" w:lastRowLastColumn="0"/>
              <w:rPr>
                <w:lang w:val="pt-BR"/>
              </w:rPr>
            </w:pPr>
            <w:r w:rsidRPr="00C44ABB">
              <w:rPr>
                <w:rFonts w:ascii="Consolas" w:hAnsi="Consolas"/>
                <w:sz w:val="17"/>
                <w:lang w:val="pt-BR"/>
              </w:rPr>
              <w:t>R-x-G-H-H-C</w:t>
            </w:r>
            <w:r w:rsidRPr="00C44ABB">
              <w:rPr>
                <w:sz w:val="17"/>
                <w:lang w:val="pt-BR"/>
              </w:rPr>
              <w:t xml:space="preserve"> (corto)</w:t>
            </w:r>
          </w:p>
        </w:tc>
        <w:tc>
          <w:tcPr>
            <w:tcW w:w="2448" w:type="dxa"/>
          </w:tcPr>
          <w:p w14:paraId="3AF5C862"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Cys364 en SufS</w:t>
            </w:r>
          </w:p>
        </w:tc>
      </w:tr>
      <w:tr w:rsidR="008C0EC2" w14:paraId="0DB52AFE"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EB83484" w14:textId="77777777" w:rsidR="008C0EC2" w:rsidRDefault="00000000">
            <w:r>
              <w:rPr>
                <w:sz w:val="17"/>
              </w:rPr>
              <w:t>III — SCLY-like</w:t>
            </w:r>
          </w:p>
        </w:tc>
        <w:tc>
          <w:tcPr>
            <w:tcW w:w="2448" w:type="dxa"/>
          </w:tcPr>
          <w:p w14:paraId="7BC3B466"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SCLY humana </w:t>
            </w:r>
            <w:r>
              <w:rPr>
                <w:rFonts w:ascii="Consolas" w:hAnsi="Consolas"/>
                <w:sz w:val="17"/>
              </w:rPr>
              <w:t>Q96I15</w:t>
            </w:r>
            <w:r>
              <w:rPr>
                <w:sz w:val="17"/>
              </w:rPr>
              <w:t xml:space="preserve">, HText, </w:t>
            </w:r>
            <w:r>
              <w:rPr>
                <w:rFonts w:ascii="Consolas" w:hAnsi="Consolas"/>
                <w:sz w:val="17"/>
              </w:rPr>
              <w:t>PNW80545.1</w:t>
            </w:r>
          </w:p>
        </w:tc>
        <w:tc>
          <w:tcPr>
            <w:tcW w:w="2448" w:type="dxa"/>
          </w:tcPr>
          <w:p w14:paraId="1DEC94F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`S-A-G-[A/S]-A-C-H-S`</w:t>
            </w:r>
          </w:p>
        </w:tc>
        <w:tc>
          <w:tcPr>
            <w:tcW w:w="2448" w:type="dxa"/>
          </w:tcPr>
          <w:p w14:paraId="181C38A1"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w:t>
            </w:r>
          </w:p>
        </w:tc>
      </w:tr>
    </w:tbl>
    <w:p w14:paraId="7A3F1615" w14:textId="77777777" w:rsidR="008C0EC2" w:rsidRDefault="008C0EC2"/>
    <w:p w14:paraId="613F0C3A" w14:textId="77777777" w:rsidR="008C0EC2" w:rsidRDefault="00000000">
      <w:r w:rsidRPr="00C44ABB">
        <w:rPr>
          <w:lang w:val="es-ES"/>
        </w:rPr>
        <w:t xml:space="preserve">La marca del grupo III es la </w:t>
      </w:r>
      <w:r w:rsidRPr="00C44ABB">
        <w:rPr>
          <w:b/>
          <w:lang w:val="es-ES"/>
        </w:rPr>
        <w:t>histidina inmediatamente después de la cisteína</w:t>
      </w:r>
      <w:r w:rsidRPr="00C44ABB">
        <w:rPr>
          <w:lang w:val="es-ES"/>
        </w:rPr>
        <w:t xml:space="preserve">. </w:t>
      </w:r>
      <w:r>
        <w:t>Ni el grupo I ni el II la tienen.</w:t>
      </w:r>
    </w:p>
    <w:p w14:paraId="4AC4FCCA" w14:textId="77777777" w:rsidR="008C0EC2" w:rsidRDefault="00000000">
      <w:pPr>
        <w:jc w:val="center"/>
      </w:pPr>
      <w:r>
        <w:rPr>
          <w:noProof/>
        </w:rPr>
        <w:drawing>
          <wp:inline distT="0" distB="0" distL="0" distR="0" wp14:anchorId="3F78C19D" wp14:editId="16A88811">
            <wp:extent cx="5120640" cy="28464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signacion_familia_NFS.png"/>
                    <pic:cNvPicPr/>
                  </pic:nvPicPr>
                  <pic:blipFill>
                    <a:blip r:embed="rId15"/>
                    <a:stretch>
                      <a:fillRect/>
                    </a:stretch>
                  </pic:blipFill>
                  <pic:spPr>
                    <a:xfrm>
                      <a:off x="0" y="0"/>
                      <a:ext cx="5120640" cy="2846493"/>
                    </a:xfrm>
                    <a:prstGeom prst="rect">
                      <a:avLst/>
                    </a:prstGeom>
                  </pic:spPr>
                </pic:pic>
              </a:graphicData>
            </a:graphic>
          </wp:inline>
        </w:drawing>
      </w:r>
    </w:p>
    <w:p w14:paraId="0222A48F" w14:textId="77777777" w:rsidR="008C0EC2" w:rsidRPr="00C44ABB" w:rsidRDefault="00000000">
      <w:pPr>
        <w:jc w:val="center"/>
        <w:rPr>
          <w:lang w:val="es-ES"/>
        </w:rPr>
      </w:pPr>
      <w:r w:rsidRPr="00C44ABB">
        <w:rPr>
          <w:i/>
          <w:color w:val="555555"/>
          <w:sz w:val="17"/>
          <w:lang w:val="es-ES"/>
        </w:rPr>
        <w:t>Asignación de familia por el bucle catalítico</w:t>
      </w:r>
    </w:p>
    <w:p w14:paraId="060FA6E5" w14:textId="77777777" w:rsidR="008C0EC2" w:rsidRDefault="00000000">
      <w:r>
        <w:rPr>
          <w:b/>
        </w:rPr>
        <w:t>Consecuencias inmediatas:</w:t>
      </w:r>
    </w:p>
    <w:p w14:paraId="2182415D" w14:textId="77777777" w:rsidR="008C0EC2" w:rsidRPr="00C44ABB" w:rsidRDefault="00000000">
      <w:pPr>
        <w:pStyle w:val="ListBullet"/>
        <w:rPr>
          <w:lang w:val="es-ES"/>
        </w:rPr>
      </w:pPr>
      <w:r w:rsidRPr="00C44ABB">
        <w:rPr>
          <w:rFonts w:ascii="Consolas" w:hAnsi="Consolas"/>
          <w:sz w:val="18"/>
          <w:lang w:val="es-ES"/>
        </w:rPr>
        <w:lastRenderedPageBreak/>
        <w:t>PNW80545.1</w:t>
      </w:r>
      <w:r w:rsidRPr="00C44ABB">
        <w:rPr>
          <w:lang w:val="es-ES"/>
        </w:rPr>
        <w:t xml:space="preserve"> (= </w:t>
      </w:r>
      <w:r w:rsidRPr="00C44ABB">
        <w:rPr>
          <w:rFonts w:ascii="Consolas" w:hAnsi="Consolas"/>
          <w:sz w:val="18"/>
          <w:lang w:val="es-ES"/>
        </w:rPr>
        <w:t>CHLRE_07g322000v5</w:t>
      </w:r>
      <w:r w:rsidRPr="00C44ABB">
        <w:rPr>
          <w:lang w:val="es-ES"/>
        </w:rPr>
        <w:t xml:space="preserve"> = </w:t>
      </w:r>
      <w:r w:rsidRPr="00C44ABB">
        <w:rPr>
          <w:rFonts w:ascii="Consolas" w:hAnsi="Consolas"/>
          <w:sz w:val="18"/>
          <w:lang w:val="es-ES"/>
        </w:rPr>
        <w:t>A0A2K3DJ46</w:t>
      </w:r>
      <w:r w:rsidRPr="00C44ABB">
        <w:rPr>
          <w:lang w:val="es-ES"/>
        </w:rPr>
        <w:t xml:space="preserve">) </w:t>
      </w:r>
      <w:r w:rsidRPr="00C44ABB">
        <w:rPr>
          <w:b/>
          <w:lang w:val="es-ES"/>
        </w:rPr>
        <w:t>no es NFS2 de Chlamydomonas.</w:t>
      </w:r>
      <w:r w:rsidRPr="00C44ABB">
        <w:rPr>
          <w:lang w:val="es-ES"/>
        </w:rPr>
        <w:t xml:space="preserve"> Es su SCLY-like. En UniProt figura apenas como "Aminotransferase class V domain-containing protein", sin familia InterPro asignada.</w:t>
      </w:r>
    </w:p>
    <w:p w14:paraId="1D1250AA" w14:textId="77777777" w:rsidR="008C0EC2" w:rsidRDefault="00000000">
      <w:pPr>
        <w:pStyle w:val="ListBullet"/>
      </w:pPr>
      <w:r>
        <w:t xml:space="preserve">La NFS2 verdadera de </w:t>
      </w:r>
      <w:r>
        <w:rPr>
          <w:i/>
        </w:rPr>
        <w:t>Chlamydomonas</w:t>
      </w:r>
      <w:r>
        <w:t xml:space="preserve"> es </w:t>
      </w:r>
      <w:r>
        <w:rPr>
          <w:rFonts w:ascii="Consolas" w:hAnsi="Consolas"/>
          <w:sz w:val="18"/>
        </w:rPr>
        <w:t>A0A2K3D4F5</w:t>
      </w:r>
      <w:r>
        <w:t xml:space="preserve"> (</w:t>
      </w:r>
      <w:r>
        <w:rPr>
          <w:rFonts w:ascii="Consolas" w:hAnsi="Consolas"/>
          <w:sz w:val="18"/>
        </w:rPr>
        <w:t>CHLRE_12g525650v5</w:t>
      </w:r>
      <w:r>
        <w:t xml:space="preserve">, 470 aa); la NFS1 verdadera es </w:t>
      </w:r>
      <w:r>
        <w:rPr>
          <w:rFonts w:ascii="Consolas" w:hAnsi="Consolas"/>
          <w:sz w:val="18"/>
        </w:rPr>
        <w:t>A0A2K3E3W0</w:t>
      </w:r>
      <w:r>
        <w:t xml:space="preserve"> (= </w:t>
      </w:r>
      <w:r>
        <w:rPr>
          <w:rFonts w:ascii="Consolas" w:hAnsi="Consolas"/>
          <w:sz w:val="18"/>
        </w:rPr>
        <w:t>PNW87417.1</w:t>
      </w:r>
      <w:r>
        <w:t xml:space="preserve">, </w:t>
      </w:r>
      <w:r>
        <w:rPr>
          <w:rFonts w:ascii="Consolas" w:hAnsi="Consolas"/>
          <w:sz w:val="18"/>
        </w:rPr>
        <w:t>CHLRE_02g146250v5</w:t>
      </w:r>
      <w:r>
        <w:t>, 464 aa).</w:t>
      </w:r>
    </w:p>
    <w:p w14:paraId="62AD43B7" w14:textId="77777777" w:rsidR="008C0EC2" w:rsidRPr="00C44ABB" w:rsidRDefault="00000000">
      <w:pPr>
        <w:pStyle w:val="ListBullet"/>
        <w:rPr>
          <w:lang w:val="es-ES"/>
        </w:rPr>
      </w:pPr>
      <w:r w:rsidRPr="00C44ABB">
        <w:rPr>
          <w:lang w:val="es-ES"/>
        </w:rPr>
        <w:t xml:space="preserve">HText es el SCLY-like de PABB004, con bucle </w:t>
      </w:r>
      <w:r w:rsidRPr="00C44ABB">
        <w:rPr>
          <w:rFonts w:ascii="Consolas" w:hAnsi="Consolas"/>
          <w:sz w:val="18"/>
          <w:lang w:val="es-ES"/>
        </w:rPr>
        <w:t>LAASAGAACHSTGGPSVS</w:t>
      </w:r>
      <w:r w:rsidRPr="00C44ABB">
        <w:rPr>
          <w:lang w:val="es-ES"/>
        </w:rPr>
        <w:t>.</w:t>
      </w:r>
    </w:p>
    <w:p w14:paraId="2C0B9D49" w14:textId="77777777" w:rsidR="008C0EC2" w:rsidRPr="00C44ABB" w:rsidRDefault="00000000">
      <w:pPr>
        <w:pStyle w:val="ListBullet"/>
        <w:rPr>
          <w:lang w:val="es-ES"/>
        </w:rPr>
      </w:pPr>
      <w:r w:rsidRPr="00C44ABB">
        <w:rPr>
          <w:b/>
          <w:lang w:val="es-ES"/>
        </w:rPr>
        <w:t>PABB004 tiene los tres genes.</w:t>
      </w:r>
    </w:p>
    <w:p w14:paraId="549DB490" w14:textId="77777777" w:rsidR="008C0EC2" w:rsidRPr="00C44ABB" w:rsidRDefault="00000000">
      <w:pPr>
        <w:rPr>
          <w:lang w:val="es-ES"/>
        </w:rPr>
      </w:pPr>
      <w:r w:rsidRPr="00C44ABB">
        <w:rPr>
          <w:b/>
          <w:lang w:val="es-ES"/>
        </w:rPr>
        <w:t>Esto es la bisagra del proyecto.</w:t>
      </w:r>
      <w:r w:rsidRPr="00C44ABB">
        <w:rPr>
          <w:lang w:val="es-ES"/>
        </w:rPr>
        <w:t xml:space="preserve"> Todo lo anterior se reinterpretó a la luz de esto; todo lo posterior salió de acá.</w:t>
      </w:r>
    </w:p>
    <w:p w14:paraId="4124D73F" w14:textId="77777777" w:rsidR="008C0EC2" w:rsidRPr="00C44ABB" w:rsidRDefault="008C0EC2">
      <w:pPr>
        <w:rPr>
          <w:lang w:val="es-ES"/>
        </w:rPr>
      </w:pPr>
    </w:p>
    <w:p w14:paraId="3D626B0C" w14:textId="77777777" w:rsidR="008C0EC2" w:rsidRPr="00C44ABB" w:rsidRDefault="00000000">
      <w:pPr>
        <w:pStyle w:val="Heading2"/>
        <w:rPr>
          <w:lang w:val="es-ES"/>
        </w:rPr>
      </w:pPr>
      <w:r w:rsidRPr="00C44ABB">
        <w:rPr>
          <w:lang w:val="es-ES"/>
        </w:rPr>
        <w:t>2.7 — El barrido pan-algal</w:t>
      </w:r>
    </w:p>
    <w:p w14:paraId="03B17910" w14:textId="77777777" w:rsidR="008C0EC2" w:rsidRPr="00C44ABB" w:rsidRDefault="00000000">
      <w:pPr>
        <w:rPr>
          <w:lang w:val="es-ES"/>
        </w:rPr>
      </w:pPr>
      <w:r w:rsidRPr="00C44ABB">
        <w:rPr>
          <w:b/>
          <w:lang w:val="es-ES"/>
        </w:rPr>
        <w:t>Qué se hizo.</w:t>
      </w:r>
      <w:r w:rsidRPr="00C44ABB">
        <w:rPr>
          <w:lang w:val="es-ES"/>
        </w:rPr>
        <w:t xml:space="preserve"> Se bajaron </w:t>
      </w:r>
      <w:r w:rsidRPr="00C44ABB">
        <w:rPr>
          <w:b/>
          <w:lang w:val="es-ES"/>
        </w:rPr>
        <w:t>119 proteomas de referencia</w:t>
      </w:r>
      <w:r w:rsidRPr="00C44ABB">
        <w:rPr>
          <w:lang w:val="es-ES"/>
        </w:rPr>
        <w:t xml:space="preserve"> de UniProt (107 algales + 12 de contraste: 6 embriofitas, humano, </w:t>
      </w:r>
      <w:r w:rsidRPr="00C44ABB">
        <w:rPr>
          <w:i/>
          <w:lang w:val="es-ES"/>
        </w:rPr>
        <w:t>Drosophila</w:t>
      </w:r>
      <w:r w:rsidRPr="00C44ABB">
        <w:rPr>
          <w:lang w:val="es-ES"/>
        </w:rPr>
        <w:t xml:space="preserve">, levadura, </w:t>
      </w:r>
      <w:r w:rsidRPr="00C44ABB">
        <w:rPr>
          <w:i/>
          <w:lang w:val="es-ES"/>
        </w:rPr>
        <w:t>Dictyostelium</w:t>
      </w:r>
      <w:r w:rsidRPr="00C44ABB">
        <w:rPr>
          <w:lang w:val="es-ES"/>
        </w:rPr>
        <w:t xml:space="preserve">, </w:t>
      </w:r>
      <w:r w:rsidRPr="00C44ABB">
        <w:rPr>
          <w:i/>
          <w:lang w:val="es-ES"/>
        </w:rPr>
        <w:t>Tetrahymena</w:t>
      </w:r>
      <w:r w:rsidRPr="00C44ABB">
        <w:rPr>
          <w:lang w:val="es-ES"/>
        </w:rPr>
        <w:t xml:space="preserve">, </w:t>
      </w:r>
      <w:r w:rsidRPr="00C44ABB">
        <w:rPr>
          <w:i/>
          <w:lang w:val="es-ES"/>
        </w:rPr>
        <w:t>Plasmodium</w:t>
      </w:r>
      <w:r w:rsidRPr="00C44ABB">
        <w:rPr>
          <w:lang w:val="es-ES"/>
        </w:rPr>
        <w:t xml:space="preserve">) — </w:t>
      </w:r>
      <w:r w:rsidRPr="00C44ABB">
        <w:rPr>
          <w:b/>
          <w:lang w:val="es-ES"/>
        </w:rPr>
        <w:t>2.110.345 secuencias</w:t>
      </w:r>
      <w:r w:rsidRPr="00C44ABB">
        <w:rPr>
          <w:lang w:val="es-ES"/>
        </w:rPr>
        <w:t xml:space="preserve"> en total. Búsqueda con </w:t>
      </w:r>
      <w:r w:rsidRPr="00C44ABB">
        <w:rPr>
          <w:b/>
          <w:lang w:val="es-ES"/>
        </w:rPr>
        <w:t>phmmer</w:t>
      </w:r>
      <w:r w:rsidRPr="00C44ABB">
        <w:rPr>
          <w:lang w:val="es-ES"/>
        </w:rPr>
        <w:t xml:space="preserve"> usando 10 cebos de las tres subfamilias, Z fijado al tamaño del universo, corte E &lt; 1 × 10⁻¹⁰.</w:t>
      </w:r>
    </w:p>
    <w:p w14:paraId="4A7E1C26" w14:textId="77777777" w:rsidR="008C0EC2" w:rsidRPr="00C44ABB" w:rsidRDefault="00000000">
      <w:pPr>
        <w:rPr>
          <w:lang w:val="es-ES"/>
        </w:rPr>
      </w:pPr>
      <w:r w:rsidRPr="00C44ABB">
        <w:rPr>
          <w:b/>
          <w:lang w:val="es-ES"/>
        </w:rPr>
        <w:t>Por qué phmmer y no BLASTp.</w:t>
      </w:r>
      <w:r w:rsidRPr="00C44ABB">
        <w:rPr>
          <w:lang w:val="es-ES"/>
        </w:rPr>
        <w:t xml:space="preserve"> phmmer usa un modelo probabilístico de perfil construido sobre la query; es más sensible que BLASTp para homología remota, que es exactamente el régimen de este problema (identidades del 25–40 % entre subfamilias). Fijar Z al universo real evita que el E-value dependa del tamaño del proteoma individual, lo que haría incomparables las especies.</w:t>
      </w:r>
    </w:p>
    <w:p w14:paraId="630AC6A1" w14:textId="77777777" w:rsidR="008C0EC2" w:rsidRPr="00C44ABB" w:rsidRDefault="00000000">
      <w:pPr>
        <w:rPr>
          <w:lang w:val="es-ES"/>
        </w:rPr>
      </w:pPr>
      <w:r w:rsidRPr="00C44ABB">
        <w:rPr>
          <w:b/>
          <w:lang w:val="es-ES"/>
        </w:rPr>
        <w:t>Por qué proteomas de referencia de UniProt y no todo NCBI.</w:t>
      </w:r>
      <w:r w:rsidRPr="00C44ABB">
        <w:rPr>
          <w:lang w:val="es-ES"/>
        </w:rPr>
        <w:t xml:space="preserve"> Un proteoma de referencia es un juego no redundante, uno por especie, con anotación estable. Si se tira contra </w:t>
      </w:r>
      <w:r w:rsidRPr="00C44ABB">
        <w:rPr>
          <w:rFonts w:ascii="Consolas" w:hAnsi="Consolas"/>
          <w:sz w:val="18"/>
          <w:lang w:val="es-ES"/>
        </w:rPr>
        <w:t>nr</w:t>
      </w:r>
      <w:r w:rsidRPr="00C44ABB">
        <w:rPr>
          <w:lang w:val="es-ES"/>
        </w:rPr>
        <w:t>, el conteo queda dominado por cuántas veces se secuenció cada especie, no por biología.</w:t>
      </w:r>
    </w:p>
    <w:p w14:paraId="2F72ECC0" w14:textId="77777777" w:rsidR="008C0EC2" w:rsidRPr="00C44ABB" w:rsidRDefault="00000000">
      <w:pPr>
        <w:rPr>
          <w:lang w:val="es-ES"/>
        </w:rPr>
      </w:pPr>
      <w:r w:rsidRPr="00C44ABB">
        <w:rPr>
          <w:b/>
          <w:lang w:val="es-ES"/>
        </w:rPr>
        <w:t>Qué dio.</w:t>
      </w:r>
      <w:r w:rsidRPr="00C44ABB">
        <w:rPr>
          <w:lang w:val="es-ES"/>
        </w:rPr>
        <w:t xml:space="preserve"> </w:t>
      </w:r>
      <w:r w:rsidRPr="00C44ABB">
        <w:rPr>
          <w:b/>
          <w:lang w:val="es-ES"/>
        </w:rPr>
        <w:t>617 proteínas de aminotransferasa clase V.</w:t>
      </w:r>
    </w:p>
    <w:p w14:paraId="66F1488E" w14:textId="77777777" w:rsidR="008C0EC2" w:rsidRPr="00C44ABB" w:rsidRDefault="00000000">
      <w:pPr>
        <w:rPr>
          <w:lang w:val="es-ES"/>
        </w:rPr>
      </w:pPr>
      <w:r w:rsidRPr="00C44ABB">
        <w:rPr>
          <w:b/>
          <w:lang w:val="es-ES"/>
        </w:rPr>
        <w:t>Luego:</w:t>
      </w:r>
      <w:r w:rsidRPr="00C44ABB">
        <w:rPr>
          <w:lang w:val="es-ES"/>
        </w:rPr>
        <w:t xml:space="preserve"> extracción del dominio </w:t>
      </w:r>
      <w:r w:rsidRPr="00C44ABB">
        <w:rPr>
          <w:b/>
          <w:lang w:val="es-ES"/>
        </w:rPr>
        <w:t>PF00266</w:t>
      </w:r>
      <w:r w:rsidRPr="00C44ABB">
        <w:rPr>
          <w:lang w:val="es-ES"/>
        </w:rPr>
        <w:t xml:space="preserve"> con </w:t>
      </w:r>
      <w:r w:rsidRPr="00C44ABB">
        <w:rPr>
          <w:rFonts w:ascii="Consolas" w:hAnsi="Consolas"/>
          <w:sz w:val="18"/>
          <w:lang w:val="es-ES"/>
        </w:rPr>
        <w:t>hmmsearch</w:t>
      </w:r>
      <w:r w:rsidRPr="00C44ABB">
        <w:rPr>
          <w:lang w:val="es-ES"/>
        </w:rPr>
        <w:t xml:space="preserve">, alineamiento con </w:t>
      </w:r>
      <w:r w:rsidRPr="00C44ABB">
        <w:rPr>
          <w:b/>
          <w:lang w:val="es-ES"/>
        </w:rPr>
        <w:t>FAMSA</w:t>
      </w:r>
      <w:r w:rsidRPr="00C44ABB">
        <w:rPr>
          <w:lang w:val="es-ES"/>
        </w:rPr>
        <w:t>, filtrado de columnas con ocupación ≥ 0,35 (</w:t>
      </w:r>
      <w:r w:rsidRPr="00C44ABB">
        <w:rPr>
          <w:b/>
          <w:lang w:val="es-ES"/>
        </w:rPr>
        <w:t>386 de 768 columnas</w:t>
      </w:r>
      <w:r w:rsidRPr="00C44ABB">
        <w:rPr>
          <w:lang w:val="es-ES"/>
        </w:rPr>
        <w:t xml:space="preserve"> sobrevivieron), árbol de máxima verosimilitud con </w:t>
      </w:r>
      <w:r w:rsidRPr="00C44ABB">
        <w:rPr>
          <w:b/>
          <w:lang w:val="es-ES"/>
        </w:rPr>
        <w:t>VeryFastTree</w:t>
      </w:r>
      <w:r w:rsidRPr="00C44ABB">
        <w:rPr>
          <w:lang w:val="es-ES"/>
        </w:rPr>
        <w:t xml:space="preserve"> (modelo LG+</w:t>
      </w:r>
      <w:r>
        <w:t>Γ</w:t>
      </w:r>
      <w:r w:rsidRPr="00C44ABB">
        <w:rPr>
          <w:lang w:val="es-ES"/>
        </w:rPr>
        <w:t>, 1000 réplicas de soporte), enraizado en el grupo II.</w:t>
      </w:r>
    </w:p>
    <w:p w14:paraId="51796260" w14:textId="77777777" w:rsidR="008C0EC2" w:rsidRPr="00C44ABB" w:rsidRDefault="00000000">
      <w:pPr>
        <w:rPr>
          <w:lang w:val="es-ES"/>
        </w:rPr>
      </w:pPr>
      <w:r w:rsidRPr="00C44ABB">
        <w:rPr>
          <w:b/>
          <w:lang w:val="es-ES"/>
        </w:rPr>
        <w:t>Por qué alinear sólo el dominio y no la proteína completa.</w:t>
      </w:r>
      <w:r w:rsidRPr="00C44ABB">
        <w:rPr>
          <w:lang w:val="es-ES"/>
        </w:rPr>
        <w:t xml:space="preserve"> Las tres subfamilias difieren en extensiones N y C terminales que no son homólogas entre sí (péptidos de tránsito, extensiones de longitud variable). Alinearlas completas mete ruido en columnas que no tienen señal filogenética. Recortar al dominio Pfam es la práctica estándar y acá era imprescindible.</w:t>
      </w:r>
    </w:p>
    <w:p w14:paraId="38BFE134" w14:textId="77777777" w:rsidR="008C0EC2" w:rsidRPr="00391BFA" w:rsidRDefault="00000000">
      <w:pPr>
        <w:rPr>
          <w:lang w:val="es-ES"/>
        </w:rPr>
      </w:pPr>
      <w:r w:rsidRPr="00391BFA">
        <w:rPr>
          <w:b/>
          <w:lang w:val="es-ES"/>
        </w:rPr>
        <w:t>Por qué FAMSA.</w:t>
      </w:r>
      <w:r w:rsidRPr="00391BFA">
        <w:rPr>
          <w:lang w:val="es-ES"/>
        </w:rPr>
        <w:t xml:space="preserve"> Escala bien a cientos de secuencias divergentes sin la penalización de tiempo de MAFFT L-INS-i, y en benchmarks de familias grandes y divergentes rinde igual o mejor.</w:t>
      </w:r>
    </w:p>
    <w:p w14:paraId="342F6A0C" w14:textId="77777777" w:rsidR="008C0EC2" w:rsidRPr="00391BFA" w:rsidRDefault="00000000">
      <w:pPr>
        <w:rPr>
          <w:lang w:val="es-ES"/>
        </w:rPr>
      </w:pPr>
      <w:r w:rsidRPr="00391BFA">
        <w:rPr>
          <w:b/>
          <w:lang w:val="es-ES"/>
        </w:rPr>
        <w:t>Por qué VeryFastTree y no RAxML/IQ-TREE.</w:t>
      </w:r>
      <w:r w:rsidRPr="00391BFA">
        <w:rPr>
          <w:lang w:val="es-ES"/>
        </w:rPr>
        <w:t xml:space="preserve"> Para 617 secuencias y un criterio de monofilia (no de topología interna fina), VeryFastTree con LG+</w:t>
      </w:r>
      <w:r>
        <w:t>Γ</w:t>
      </w:r>
      <w:r w:rsidRPr="00391BFA">
        <w:rPr>
          <w:lang w:val="es-ES"/>
        </w:rPr>
        <w:t xml:space="preserve"> da el mismo resultado en minutos en vez de horas. El soporte que importa es el de los tres clados, y es alto.</w:t>
      </w:r>
    </w:p>
    <w:p w14:paraId="1A042641" w14:textId="77777777" w:rsidR="008C0EC2" w:rsidRPr="00391BFA" w:rsidRDefault="00000000">
      <w:pPr>
        <w:rPr>
          <w:lang w:val="es-ES"/>
        </w:rPr>
      </w:pPr>
      <w:r w:rsidRPr="00391BFA">
        <w:rPr>
          <w:b/>
          <w:lang w:val="es-ES"/>
        </w:rPr>
        <w:t>Qué dio el árbol — tres clados:</w:t>
      </w:r>
    </w:p>
    <w:tbl>
      <w:tblPr>
        <w:tblStyle w:val="LightGrid-Accent1"/>
        <w:tblW w:w="0" w:type="auto"/>
        <w:jc w:val="center"/>
        <w:tblLook w:val="04A0" w:firstRow="1" w:lastRow="0" w:firstColumn="1" w:lastColumn="0" w:noHBand="0" w:noVBand="1"/>
      </w:tblPr>
      <w:tblGrid>
        <w:gridCol w:w="3264"/>
        <w:gridCol w:w="3264"/>
        <w:gridCol w:w="3264"/>
      </w:tblGrid>
      <w:tr w:rsidR="008C0EC2" w14:paraId="456FC5BE"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C3C4190" w14:textId="77777777" w:rsidR="008C0EC2" w:rsidRDefault="00000000">
            <w:r>
              <w:rPr>
                <w:sz w:val="17"/>
              </w:rPr>
              <w:t>Clado</w:t>
            </w:r>
          </w:p>
        </w:tc>
        <w:tc>
          <w:tcPr>
            <w:tcW w:w="3264" w:type="dxa"/>
          </w:tcPr>
          <w:p w14:paraId="1EAC02C3"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n</w:t>
            </w:r>
          </w:p>
        </w:tc>
        <w:tc>
          <w:tcPr>
            <w:tcW w:w="3264" w:type="dxa"/>
          </w:tcPr>
          <w:p w14:paraId="47F2B753"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Soporte</w:t>
            </w:r>
          </w:p>
        </w:tc>
      </w:tr>
      <w:tr w:rsidR="008C0EC2" w14:paraId="79E19D9F"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C01D4A6" w14:textId="77777777" w:rsidR="008C0EC2" w:rsidRDefault="00000000">
            <w:r>
              <w:rPr>
                <w:sz w:val="17"/>
              </w:rPr>
              <w:t>NFS2 / SufS (grupo II)</w:t>
            </w:r>
          </w:p>
        </w:tc>
        <w:tc>
          <w:tcPr>
            <w:tcW w:w="3264" w:type="dxa"/>
          </w:tcPr>
          <w:p w14:paraId="1D47E136"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116</w:t>
            </w:r>
          </w:p>
        </w:tc>
        <w:tc>
          <w:tcPr>
            <w:tcW w:w="3264" w:type="dxa"/>
          </w:tcPr>
          <w:p w14:paraId="6997A6A9"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1,00</w:t>
            </w:r>
          </w:p>
        </w:tc>
      </w:tr>
      <w:tr w:rsidR="008C0EC2" w14:paraId="50279EF1"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F68E31B" w14:textId="77777777" w:rsidR="008C0EC2" w:rsidRDefault="00000000">
            <w:r>
              <w:rPr>
                <w:sz w:val="17"/>
              </w:rPr>
              <w:t>NFS1 / IscS (grupo I)</w:t>
            </w:r>
          </w:p>
        </w:tc>
        <w:tc>
          <w:tcPr>
            <w:tcW w:w="3264" w:type="dxa"/>
          </w:tcPr>
          <w:p w14:paraId="55DD76DF"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134</w:t>
            </w:r>
          </w:p>
        </w:tc>
        <w:tc>
          <w:tcPr>
            <w:tcW w:w="3264" w:type="dxa"/>
          </w:tcPr>
          <w:p w14:paraId="2C2630B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0,79</w:t>
            </w:r>
          </w:p>
        </w:tc>
      </w:tr>
      <w:tr w:rsidR="008C0EC2" w14:paraId="1A54AA85"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B0961D0" w14:textId="77777777" w:rsidR="008C0EC2" w:rsidRDefault="00000000">
            <w:r>
              <w:rPr>
                <w:sz w:val="17"/>
              </w:rPr>
              <w:t>SCLY-like (grupo III)</w:t>
            </w:r>
          </w:p>
        </w:tc>
        <w:tc>
          <w:tcPr>
            <w:tcW w:w="3264" w:type="dxa"/>
          </w:tcPr>
          <w:p w14:paraId="51FA2F5E"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66</w:t>
            </w:r>
          </w:p>
        </w:tc>
        <w:tc>
          <w:tcPr>
            <w:tcW w:w="3264" w:type="dxa"/>
          </w:tcPr>
          <w:p w14:paraId="05F81BF1"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0,96</w:t>
            </w:r>
          </w:p>
        </w:tc>
      </w:tr>
    </w:tbl>
    <w:p w14:paraId="3D1E6C1C" w14:textId="77777777" w:rsidR="008C0EC2" w:rsidRDefault="008C0EC2"/>
    <w:p w14:paraId="53264610" w14:textId="77777777" w:rsidR="008C0EC2" w:rsidRPr="00391BFA" w:rsidRDefault="00000000">
      <w:pPr>
        <w:rPr>
          <w:lang w:val="es-ES"/>
        </w:rPr>
      </w:pPr>
      <w:r w:rsidRPr="00391BFA">
        <w:rPr>
          <w:lang w:val="es-ES"/>
        </w:rPr>
        <w:t xml:space="preserve">La </w:t>
      </w:r>
      <w:r w:rsidRPr="00391BFA">
        <w:rPr>
          <w:b/>
          <w:lang w:val="es-ES"/>
        </w:rPr>
        <w:t>SCLY humana</w:t>
      </w:r>
      <w:r w:rsidRPr="00391BFA">
        <w:rPr>
          <w:lang w:val="es-ES"/>
        </w:rPr>
        <w:t xml:space="preserve"> (</w:t>
      </w:r>
      <w:r w:rsidRPr="00391BFA">
        <w:rPr>
          <w:rFonts w:ascii="Consolas" w:hAnsi="Consolas"/>
          <w:sz w:val="18"/>
          <w:lang w:val="es-ES"/>
        </w:rPr>
        <w:t>Q96I15</w:t>
      </w:r>
      <w:r w:rsidRPr="00391BFA">
        <w:rPr>
          <w:lang w:val="es-ES"/>
        </w:rPr>
        <w:t xml:space="preserve">) entra como </w:t>
      </w:r>
      <w:r w:rsidRPr="00391BFA">
        <w:rPr>
          <w:b/>
          <w:lang w:val="es-ES"/>
        </w:rPr>
        <w:t>rama hermana de las 65 secuencias algales</w:t>
      </w:r>
      <w:r w:rsidRPr="00391BFA">
        <w:rPr>
          <w:lang w:val="es-ES"/>
        </w:rPr>
        <w:t xml:space="preserve">. HText cae hermana de las dos copias de </w:t>
      </w:r>
      <w:r w:rsidRPr="00391BFA">
        <w:rPr>
          <w:i/>
          <w:lang w:val="es-ES"/>
        </w:rPr>
        <w:t>Tetradesmus obliquus</w:t>
      </w:r>
      <w:r w:rsidRPr="00391BFA">
        <w:rPr>
          <w:lang w:val="es-ES"/>
        </w:rPr>
        <w:t>.</w:t>
      </w:r>
    </w:p>
    <w:p w14:paraId="7E5AB01F" w14:textId="77777777" w:rsidR="008C0EC2" w:rsidRDefault="00000000">
      <w:pPr>
        <w:jc w:val="center"/>
      </w:pPr>
      <w:r>
        <w:rPr>
          <w:noProof/>
        </w:rPr>
        <w:drawing>
          <wp:inline distT="0" distB="0" distL="0" distR="0" wp14:anchorId="5A78BA75" wp14:editId="649602E1">
            <wp:extent cx="5120640" cy="61153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bol_desulfurasas.png"/>
                    <pic:cNvPicPr/>
                  </pic:nvPicPr>
                  <pic:blipFill>
                    <a:blip r:embed="rId16"/>
                    <a:stretch>
                      <a:fillRect/>
                    </a:stretch>
                  </pic:blipFill>
                  <pic:spPr>
                    <a:xfrm>
                      <a:off x="0" y="0"/>
                      <a:ext cx="5120640" cy="6115396"/>
                    </a:xfrm>
                    <a:prstGeom prst="rect">
                      <a:avLst/>
                    </a:prstGeom>
                  </pic:spPr>
                </pic:pic>
              </a:graphicData>
            </a:graphic>
          </wp:inline>
        </w:drawing>
      </w:r>
    </w:p>
    <w:p w14:paraId="78238D12" w14:textId="77777777" w:rsidR="008C0EC2" w:rsidRPr="00391BFA" w:rsidRDefault="00000000">
      <w:pPr>
        <w:jc w:val="center"/>
        <w:rPr>
          <w:lang w:val="es-ES"/>
        </w:rPr>
      </w:pPr>
      <w:r w:rsidRPr="00391BFA">
        <w:rPr>
          <w:i/>
          <w:color w:val="555555"/>
          <w:sz w:val="17"/>
          <w:lang w:val="es-ES"/>
        </w:rPr>
        <w:t>Árbol de máxima verosimilitud de las desulfurasas clase V</w:t>
      </w:r>
    </w:p>
    <w:p w14:paraId="06E7D677" w14:textId="77777777" w:rsidR="008C0EC2" w:rsidRPr="00391BFA" w:rsidRDefault="00000000">
      <w:pPr>
        <w:rPr>
          <w:lang w:val="es-ES"/>
        </w:rPr>
      </w:pPr>
      <w:r w:rsidRPr="00391BFA">
        <w:rPr>
          <w:b/>
          <w:lang w:val="es-ES"/>
        </w:rPr>
        <w:t>Qué no prueba.</w:t>
      </w:r>
      <w:r w:rsidRPr="00391BFA">
        <w:rPr>
          <w:lang w:val="es-ES"/>
        </w:rPr>
        <w:t xml:space="preserve"> El soporte de 0,79 del clado NFS1 es mediocre — pero eso no afecta la conclusión, porque lo que se está afirmando es que SCLY-like es monofilético y distinto, y eso tiene 0,96. Las 301 proteínas clase V restantes (617 − 316) no fueron asignadas a ninguna de las tres subfamilias; son aminotransferasas clase V de otras funciones y quedaron fuera del alcance.</w:t>
      </w:r>
    </w:p>
    <w:p w14:paraId="071B4E81" w14:textId="77777777" w:rsidR="008C0EC2" w:rsidRPr="00391BFA" w:rsidRDefault="008C0EC2">
      <w:pPr>
        <w:rPr>
          <w:lang w:val="es-ES"/>
        </w:rPr>
      </w:pPr>
    </w:p>
    <w:p w14:paraId="3D9F51FA" w14:textId="77777777" w:rsidR="008C0EC2" w:rsidRPr="00391BFA" w:rsidRDefault="00000000">
      <w:pPr>
        <w:pStyle w:val="Heading2"/>
        <w:rPr>
          <w:lang w:val="es-ES"/>
        </w:rPr>
      </w:pPr>
      <w:r w:rsidRPr="00391BFA">
        <w:rPr>
          <w:lang w:val="es-ES"/>
        </w:rPr>
        <w:lastRenderedPageBreak/>
        <w:t>2.8 — La firma invariante</w:t>
      </w:r>
    </w:p>
    <w:p w14:paraId="2418B69E" w14:textId="77777777" w:rsidR="008C0EC2" w:rsidRPr="00391BFA" w:rsidRDefault="00000000">
      <w:pPr>
        <w:rPr>
          <w:lang w:val="es-ES"/>
        </w:rPr>
      </w:pPr>
      <w:r w:rsidRPr="00391BFA">
        <w:rPr>
          <w:b/>
          <w:lang w:val="es-ES"/>
        </w:rPr>
        <w:t>Qué se hizo.</w:t>
      </w:r>
      <w:r w:rsidRPr="00391BFA">
        <w:rPr>
          <w:lang w:val="es-ES"/>
        </w:rPr>
        <w:t xml:space="preserve"> Entropía de Shannon posición por posición en el bucle catalítico de las 66 secuencias SCLY-like.</w:t>
      </w:r>
    </w:p>
    <w:p w14:paraId="63229A39" w14:textId="77777777" w:rsidR="008C0EC2" w:rsidRDefault="00000000">
      <w:r w:rsidRPr="00391BFA">
        <w:rPr>
          <w:b/>
          <w:lang w:val="es-ES"/>
        </w:rPr>
        <w:t>Qué dio.</w:t>
      </w:r>
      <w:r w:rsidRPr="00391BFA">
        <w:rPr>
          <w:lang w:val="es-ES"/>
        </w:rPr>
        <w:t xml:space="preserve"> </w:t>
      </w:r>
      <w:r w:rsidRPr="00391BFA">
        <w:rPr>
          <w:b/>
          <w:lang w:val="es-ES"/>
        </w:rPr>
        <w:t>66 de 66</w:t>
      </w:r>
      <w:r w:rsidRPr="00391BFA">
        <w:rPr>
          <w:lang w:val="es-ES"/>
        </w:rPr>
        <w:t xml:space="preserve"> tienen Gly en la posición 4, Cys en la 7 e His en la 8. </w:t>
      </w:r>
      <w:r>
        <w:rPr>
          <w:b/>
        </w:rPr>
        <w:t>Entropía = 0,000 bits</w:t>
      </w:r>
      <w:r>
        <w:t xml:space="preserve"> en las tres posiciones.</w:t>
      </w:r>
    </w:p>
    <w:p w14:paraId="418359D8" w14:textId="77777777" w:rsidR="008C0EC2" w:rsidRDefault="00000000">
      <w:pPr>
        <w:jc w:val="center"/>
      </w:pPr>
      <w:r>
        <w:rPr>
          <w:noProof/>
        </w:rPr>
        <w:drawing>
          <wp:inline distT="0" distB="0" distL="0" distR="0" wp14:anchorId="69F94C8D" wp14:editId="1BFA9CC2">
            <wp:extent cx="5120640" cy="3562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77c7c25_Perfilconservacion.png"/>
                    <pic:cNvPicPr/>
                  </pic:nvPicPr>
                  <pic:blipFill>
                    <a:blip r:embed="rId17"/>
                    <a:stretch>
                      <a:fillRect/>
                    </a:stretch>
                  </pic:blipFill>
                  <pic:spPr>
                    <a:xfrm>
                      <a:off x="0" y="0"/>
                      <a:ext cx="5120640" cy="3562045"/>
                    </a:xfrm>
                    <a:prstGeom prst="rect">
                      <a:avLst/>
                    </a:prstGeom>
                  </pic:spPr>
                </pic:pic>
              </a:graphicData>
            </a:graphic>
          </wp:inline>
        </w:drawing>
      </w:r>
    </w:p>
    <w:p w14:paraId="671A84D7" w14:textId="77777777" w:rsidR="008C0EC2" w:rsidRPr="00391BFA" w:rsidRDefault="00000000">
      <w:pPr>
        <w:jc w:val="center"/>
        <w:rPr>
          <w:lang w:val="es-ES"/>
        </w:rPr>
      </w:pPr>
      <w:r w:rsidRPr="00391BFA">
        <w:rPr>
          <w:i/>
          <w:color w:val="555555"/>
          <w:sz w:val="17"/>
          <w:lang w:val="es-ES"/>
        </w:rPr>
        <w:t>Perfil de conservación del bucle catalítico</w:t>
      </w:r>
    </w:p>
    <w:p w14:paraId="7F670FFB" w14:textId="77777777" w:rsidR="008C0EC2" w:rsidRPr="00391BFA" w:rsidRDefault="00000000">
      <w:pPr>
        <w:rPr>
          <w:lang w:val="es-ES"/>
        </w:rPr>
      </w:pPr>
      <w:r w:rsidRPr="00391BFA">
        <w:rPr>
          <w:lang w:val="es-ES"/>
        </w:rPr>
        <w:t>Esto es lo más fuerte que tiene el trabajo como carácter diagnóstico: 66 secuencias de 7 linajes separados por más de mil millones de años, y ni una sola sustitución en esas tres posiciones.</w:t>
      </w:r>
    </w:p>
    <w:p w14:paraId="2FDD1542" w14:textId="77777777" w:rsidR="008C0EC2" w:rsidRPr="00391BFA" w:rsidRDefault="008C0EC2">
      <w:pPr>
        <w:rPr>
          <w:lang w:val="es-ES"/>
        </w:rPr>
      </w:pPr>
    </w:p>
    <w:p w14:paraId="4F854F3B" w14:textId="77777777" w:rsidR="008C0EC2" w:rsidRPr="00391BFA" w:rsidRDefault="00000000">
      <w:pPr>
        <w:pStyle w:val="Heading2"/>
        <w:rPr>
          <w:lang w:val="es-ES"/>
        </w:rPr>
      </w:pPr>
      <w:r w:rsidRPr="00391BFA">
        <w:rPr>
          <w:lang w:val="es-ES"/>
        </w:rPr>
        <w:t>2.9 — Distribución y pérdidas</w:t>
      </w:r>
    </w:p>
    <w:p w14:paraId="483D647F" w14:textId="77777777" w:rsidR="008C0EC2" w:rsidRPr="00391BFA" w:rsidRDefault="00000000">
      <w:pPr>
        <w:rPr>
          <w:lang w:val="es-ES"/>
        </w:rPr>
      </w:pPr>
      <w:r w:rsidRPr="00391BFA">
        <w:rPr>
          <w:b/>
          <w:lang w:val="es-ES"/>
        </w:rPr>
        <w:t>Qué se hizo.</w:t>
      </w:r>
      <w:r w:rsidRPr="00391BFA">
        <w:rPr>
          <w:lang w:val="es-ES"/>
        </w:rPr>
        <w:t xml:space="preserve"> Conteo de presencia/ausencia del clado SCLY-like por proteoma.</w:t>
      </w:r>
    </w:p>
    <w:p w14:paraId="764542B6" w14:textId="77777777" w:rsidR="008C0EC2" w:rsidRPr="00391BFA" w:rsidRDefault="00000000">
      <w:pPr>
        <w:rPr>
          <w:lang w:val="es-ES"/>
        </w:rPr>
      </w:pPr>
      <w:r w:rsidRPr="00391BFA">
        <w:rPr>
          <w:b/>
          <w:lang w:val="es-ES"/>
        </w:rPr>
        <w:t>Qué dio.</w:t>
      </w:r>
      <w:r w:rsidRPr="00391BFA">
        <w:rPr>
          <w:lang w:val="es-ES"/>
        </w:rPr>
        <w:t xml:space="preserve"> 66 proteínas en </w:t>
      </w:r>
      <w:r w:rsidRPr="00391BFA">
        <w:rPr>
          <w:b/>
          <w:lang w:val="es-ES"/>
        </w:rPr>
        <w:t>56 especies</w:t>
      </w:r>
      <w:r w:rsidRPr="00391BFA">
        <w:rPr>
          <w:lang w:val="es-ES"/>
        </w:rPr>
        <w:t>, 7 linajes algales + Metazoa.</w:t>
      </w:r>
    </w:p>
    <w:tbl>
      <w:tblPr>
        <w:tblStyle w:val="LightGrid-Accent1"/>
        <w:tblW w:w="0" w:type="auto"/>
        <w:jc w:val="center"/>
        <w:tblLook w:val="04A0" w:firstRow="1" w:lastRow="0" w:firstColumn="1" w:lastColumn="0" w:noHBand="0" w:noVBand="1"/>
      </w:tblPr>
      <w:tblGrid>
        <w:gridCol w:w="4896"/>
        <w:gridCol w:w="4896"/>
      </w:tblGrid>
      <w:tr w:rsidR="008C0EC2" w14:paraId="1D6DDBF5"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A1D3381" w14:textId="77777777" w:rsidR="008C0EC2" w:rsidRDefault="00000000">
            <w:r>
              <w:rPr>
                <w:sz w:val="17"/>
              </w:rPr>
              <w:t>Linaje</w:t>
            </w:r>
          </w:p>
        </w:tc>
        <w:tc>
          <w:tcPr>
            <w:tcW w:w="4896" w:type="dxa"/>
          </w:tcPr>
          <w:p w14:paraId="2D4DD194"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Proteomas con SCLY-like</w:t>
            </w:r>
          </w:p>
        </w:tc>
      </w:tr>
      <w:tr w:rsidR="008C0EC2" w14:paraId="731A07EA"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A9BFA88" w14:textId="77777777" w:rsidR="008C0EC2" w:rsidRDefault="00000000">
            <w:r>
              <w:rPr>
                <w:sz w:val="17"/>
              </w:rPr>
              <w:t>Chlorophyta</w:t>
            </w:r>
          </w:p>
        </w:tc>
        <w:tc>
          <w:tcPr>
            <w:tcW w:w="4896" w:type="dxa"/>
          </w:tcPr>
          <w:p w14:paraId="6CE6F38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32 / 48</w:t>
            </w:r>
          </w:p>
        </w:tc>
      </w:tr>
      <w:tr w:rsidR="008C0EC2" w14:paraId="3B733254"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8AE95EA" w14:textId="77777777" w:rsidR="008C0EC2" w:rsidRDefault="00000000">
            <w:r>
              <w:rPr>
                <w:sz w:val="17"/>
              </w:rPr>
              <w:t>Bacillariophyta (diatomeas)</w:t>
            </w:r>
          </w:p>
        </w:tc>
        <w:tc>
          <w:tcPr>
            <w:tcW w:w="4896" w:type="dxa"/>
          </w:tcPr>
          <w:p w14:paraId="6CBA203A"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14 / 16</w:t>
            </w:r>
          </w:p>
        </w:tc>
      </w:tr>
      <w:tr w:rsidR="008C0EC2" w14:paraId="660DF201"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D5E91AA" w14:textId="77777777" w:rsidR="008C0EC2" w:rsidRDefault="00000000">
            <w:r>
              <w:rPr>
                <w:sz w:val="17"/>
              </w:rPr>
              <w:t>Dinophyceae</w:t>
            </w:r>
          </w:p>
        </w:tc>
        <w:tc>
          <w:tcPr>
            <w:tcW w:w="4896" w:type="dxa"/>
          </w:tcPr>
          <w:p w14:paraId="4006F5B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4 / 10</w:t>
            </w:r>
          </w:p>
        </w:tc>
      </w:tr>
      <w:tr w:rsidR="008C0EC2" w14:paraId="2DCF5E1B"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009FFDB" w14:textId="77777777" w:rsidR="008C0EC2" w:rsidRDefault="00000000">
            <w:r>
              <w:rPr>
                <w:sz w:val="17"/>
              </w:rPr>
              <w:t>Haptophyta</w:t>
            </w:r>
          </w:p>
        </w:tc>
        <w:tc>
          <w:tcPr>
            <w:tcW w:w="4896" w:type="dxa"/>
          </w:tcPr>
          <w:p w14:paraId="5AA95930"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3 / 4</w:t>
            </w:r>
          </w:p>
        </w:tc>
      </w:tr>
      <w:tr w:rsidR="008C0EC2" w14:paraId="0D517F1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759F938" w14:textId="77777777" w:rsidR="008C0EC2" w:rsidRDefault="00000000">
            <w:r>
              <w:rPr>
                <w:sz w:val="17"/>
              </w:rPr>
              <w:t>Carofitas (Streptophyta acuáticas)</w:t>
            </w:r>
          </w:p>
        </w:tc>
        <w:tc>
          <w:tcPr>
            <w:tcW w:w="4896" w:type="dxa"/>
          </w:tcPr>
          <w:p w14:paraId="21BA90C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2 / 2</w:t>
            </w:r>
          </w:p>
        </w:tc>
      </w:tr>
      <w:tr w:rsidR="008C0EC2" w14:paraId="4AD65AB3"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8613F7" w14:textId="77777777" w:rsidR="008C0EC2" w:rsidRDefault="00000000">
            <w:r>
              <w:rPr>
                <w:sz w:val="17"/>
              </w:rPr>
              <w:t>Cryptophyceae</w:t>
            </w:r>
          </w:p>
        </w:tc>
        <w:tc>
          <w:tcPr>
            <w:tcW w:w="4896" w:type="dxa"/>
          </w:tcPr>
          <w:p w14:paraId="54B8A67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 / 1</w:t>
            </w:r>
          </w:p>
        </w:tc>
      </w:tr>
      <w:tr w:rsidR="008C0EC2" w14:paraId="44F1558F"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C626576" w14:textId="77777777" w:rsidR="008C0EC2" w:rsidRDefault="00000000">
            <w:r>
              <w:rPr>
                <w:sz w:val="17"/>
              </w:rPr>
              <w:t>Xanthophyceae</w:t>
            </w:r>
          </w:p>
        </w:tc>
        <w:tc>
          <w:tcPr>
            <w:tcW w:w="4896" w:type="dxa"/>
          </w:tcPr>
          <w:p w14:paraId="05DB30F2"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 / 1</w:t>
            </w:r>
          </w:p>
        </w:tc>
      </w:tr>
      <w:tr w:rsidR="008C0EC2" w14:paraId="1E23D05F"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6C17C7" w14:textId="77777777" w:rsidR="008C0EC2" w:rsidRDefault="00000000">
            <w:r>
              <w:rPr>
                <w:sz w:val="17"/>
              </w:rPr>
              <w:t>Embryophyta</w:t>
            </w:r>
          </w:p>
        </w:tc>
        <w:tc>
          <w:tcPr>
            <w:tcW w:w="4896" w:type="dxa"/>
          </w:tcPr>
          <w:p w14:paraId="42D91C6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0 / 6</w:t>
            </w:r>
          </w:p>
        </w:tc>
      </w:tr>
      <w:tr w:rsidR="008C0EC2" w14:paraId="085D0C75"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EFD9963" w14:textId="77777777" w:rsidR="008C0EC2" w:rsidRDefault="00000000">
            <w:r>
              <w:rPr>
                <w:sz w:val="17"/>
              </w:rPr>
              <w:t>Rhodophyta</w:t>
            </w:r>
          </w:p>
        </w:tc>
        <w:tc>
          <w:tcPr>
            <w:tcW w:w="4896" w:type="dxa"/>
          </w:tcPr>
          <w:p w14:paraId="41F252BE"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0 / 12</w:t>
            </w:r>
          </w:p>
        </w:tc>
      </w:tr>
      <w:tr w:rsidR="008C0EC2" w14:paraId="1269D7AA"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4B39847" w14:textId="77777777" w:rsidR="008C0EC2" w:rsidRDefault="00000000">
            <w:r>
              <w:rPr>
                <w:sz w:val="17"/>
              </w:rPr>
              <w:t>Bolidophyceae</w:t>
            </w:r>
          </w:p>
        </w:tc>
        <w:tc>
          <w:tcPr>
            <w:tcW w:w="4896" w:type="dxa"/>
          </w:tcPr>
          <w:p w14:paraId="28E5C95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 / 6</w:t>
            </w:r>
          </w:p>
        </w:tc>
      </w:tr>
      <w:tr w:rsidR="008C0EC2" w14:paraId="7B07A868"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1834C0F" w14:textId="77777777" w:rsidR="008C0EC2" w:rsidRDefault="00000000">
            <w:r>
              <w:rPr>
                <w:sz w:val="17"/>
              </w:rPr>
              <w:t>Pelagophyceae</w:t>
            </w:r>
          </w:p>
        </w:tc>
        <w:tc>
          <w:tcPr>
            <w:tcW w:w="4896" w:type="dxa"/>
          </w:tcPr>
          <w:p w14:paraId="250990E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 / 4</w:t>
            </w:r>
          </w:p>
        </w:tc>
      </w:tr>
      <w:tr w:rsidR="008C0EC2" w14:paraId="0D5606E2"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D48A9D" w14:textId="77777777" w:rsidR="008C0EC2" w:rsidRDefault="00000000">
            <w:r>
              <w:rPr>
                <w:sz w:val="17"/>
              </w:rPr>
              <w:t>Eustigmatophyceae</w:t>
            </w:r>
          </w:p>
        </w:tc>
        <w:tc>
          <w:tcPr>
            <w:tcW w:w="4896" w:type="dxa"/>
          </w:tcPr>
          <w:p w14:paraId="47D68FC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 / 2</w:t>
            </w:r>
          </w:p>
        </w:tc>
      </w:tr>
      <w:tr w:rsidR="008C0EC2" w14:paraId="587A4B3E"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852B3D0" w14:textId="77777777" w:rsidR="008C0EC2" w:rsidRDefault="00000000">
            <w:r>
              <w:rPr>
                <w:sz w:val="17"/>
              </w:rPr>
              <w:t>Phaeophyceae</w:t>
            </w:r>
          </w:p>
        </w:tc>
        <w:tc>
          <w:tcPr>
            <w:tcW w:w="4896" w:type="dxa"/>
          </w:tcPr>
          <w:p w14:paraId="57C916BE"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 / 1</w:t>
            </w:r>
          </w:p>
        </w:tc>
      </w:tr>
      <w:tr w:rsidR="008C0EC2" w14:paraId="2A88F8B6"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A569A8" w14:textId="77777777" w:rsidR="008C0EC2" w:rsidRDefault="00000000">
            <w:r>
              <w:rPr>
                <w:sz w:val="17"/>
              </w:rPr>
              <w:lastRenderedPageBreak/>
              <w:t>Hongos, amebozoos, ciliados, apicomplejos</w:t>
            </w:r>
          </w:p>
        </w:tc>
        <w:tc>
          <w:tcPr>
            <w:tcW w:w="4896" w:type="dxa"/>
          </w:tcPr>
          <w:p w14:paraId="72D32D9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w:t>
            </w:r>
          </w:p>
        </w:tc>
      </w:tr>
    </w:tbl>
    <w:p w14:paraId="63BA2586" w14:textId="77777777" w:rsidR="008C0EC2" w:rsidRDefault="008C0EC2"/>
    <w:p w14:paraId="773E637D" w14:textId="77777777" w:rsidR="008C0EC2" w:rsidRDefault="00000000">
      <w:pPr>
        <w:jc w:val="center"/>
      </w:pPr>
      <w:r>
        <w:rPr>
          <w:noProof/>
        </w:rPr>
        <w:drawing>
          <wp:inline distT="0" distB="0" distL="0" distR="0" wp14:anchorId="785C88A7" wp14:editId="10F36821">
            <wp:extent cx="5120640" cy="4544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cion_desulfurasas.png"/>
                    <pic:cNvPicPr/>
                  </pic:nvPicPr>
                  <pic:blipFill>
                    <a:blip r:embed="rId18"/>
                    <a:stretch>
                      <a:fillRect/>
                    </a:stretch>
                  </pic:blipFill>
                  <pic:spPr>
                    <a:xfrm>
                      <a:off x="0" y="0"/>
                      <a:ext cx="5120640" cy="4544860"/>
                    </a:xfrm>
                    <a:prstGeom prst="rect">
                      <a:avLst/>
                    </a:prstGeom>
                  </pic:spPr>
                </pic:pic>
              </a:graphicData>
            </a:graphic>
          </wp:inline>
        </w:drawing>
      </w:r>
    </w:p>
    <w:p w14:paraId="2F7B9C23" w14:textId="77777777" w:rsidR="008C0EC2" w:rsidRPr="00391BFA" w:rsidRDefault="00000000">
      <w:pPr>
        <w:jc w:val="center"/>
        <w:rPr>
          <w:lang w:val="es-ES"/>
        </w:rPr>
      </w:pPr>
      <w:r w:rsidRPr="00391BFA">
        <w:rPr>
          <w:i/>
          <w:color w:val="555555"/>
          <w:sz w:val="17"/>
          <w:lang w:val="es-ES"/>
        </w:rPr>
        <w:t>Distribución del clado SCLY-like por linaje</w:t>
      </w:r>
    </w:p>
    <w:p w14:paraId="3421A995" w14:textId="77777777" w:rsidR="008C0EC2" w:rsidRPr="00391BFA" w:rsidRDefault="00000000">
      <w:pPr>
        <w:rPr>
          <w:lang w:val="es-ES"/>
        </w:rPr>
      </w:pPr>
      <w:r w:rsidRPr="00391BFA">
        <w:rPr>
          <w:b/>
          <w:lang w:val="es-ES"/>
        </w:rPr>
        <w:t>Lo interesante.</w:t>
      </w:r>
      <w:r w:rsidRPr="00391BFA">
        <w:rPr>
          <w:lang w:val="es-ES"/>
        </w:rPr>
        <w:t xml:space="preserve"> Las dos carofitas (</w:t>
      </w:r>
      <w:r w:rsidRPr="00391BFA">
        <w:rPr>
          <w:i/>
          <w:lang w:val="es-ES"/>
        </w:rPr>
        <w:t>Chara braunii</w:t>
      </w:r>
      <w:r w:rsidRPr="00391BFA">
        <w:rPr>
          <w:lang w:val="es-ES"/>
        </w:rPr>
        <w:t xml:space="preserve">, </w:t>
      </w:r>
      <w:r w:rsidRPr="00391BFA">
        <w:rPr>
          <w:i/>
          <w:lang w:val="es-ES"/>
        </w:rPr>
        <w:t>Klebsormidium nitens</w:t>
      </w:r>
      <w:r w:rsidRPr="00391BFA">
        <w:rPr>
          <w:lang w:val="es-ES"/>
        </w:rPr>
        <w:t xml:space="preserve">) lo </w:t>
      </w:r>
      <w:r w:rsidRPr="00391BFA">
        <w:rPr>
          <w:b/>
          <w:lang w:val="es-ES"/>
        </w:rPr>
        <w:t>tienen</w:t>
      </w:r>
      <w:r w:rsidRPr="00391BFA">
        <w:rPr>
          <w:lang w:val="es-ES"/>
        </w:rPr>
        <w:t xml:space="preserve">; las seis embriofitas </w:t>
      </w:r>
      <w:r w:rsidRPr="00391BFA">
        <w:rPr>
          <w:b/>
          <w:lang w:val="es-ES"/>
        </w:rPr>
        <w:t>no</w:t>
      </w:r>
      <w:r w:rsidRPr="00391BFA">
        <w:rPr>
          <w:lang w:val="es-ES"/>
        </w:rPr>
        <w:t xml:space="preserve">. Eso ubica la pérdida en el linaje verde </w:t>
      </w:r>
      <w:r w:rsidRPr="00391BFA">
        <w:rPr>
          <w:b/>
          <w:lang w:val="es-ES"/>
        </w:rPr>
        <w:t>después</w:t>
      </w:r>
      <w:r w:rsidRPr="00391BFA">
        <w:rPr>
          <w:lang w:val="es-ES"/>
        </w:rPr>
        <w:t xml:space="preserve"> de la divergencia de las carofitas, es decir, en la terrestrialización. Y las rodofitas tampoco lo tienen, lo que implica una </w:t>
      </w:r>
      <w:r w:rsidRPr="00391BFA">
        <w:rPr>
          <w:b/>
          <w:lang w:val="es-ES"/>
        </w:rPr>
        <w:t>segunda pérdida independiente</w:t>
      </w:r>
      <w:r w:rsidRPr="00391BFA">
        <w:rPr>
          <w:lang w:val="es-ES"/>
        </w:rPr>
        <w:t>.</w:t>
      </w:r>
    </w:p>
    <w:p w14:paraId="0A737BD2" w14:textId="77777777" w:rsidR="008C0EC2" w:rsidRPr="00391BFA" w:rsidRDefault="00000000">
      <w:pPr>
        <w:rPr>
          <w:lang w:val="es-ES"/>
        </w:rPr>
      </w:pPr>
      <w:r w:rsidRPr="00391BFA">
        <w:rPr>
          <w:b/>
          <w:lang w:val="es-ES"/>
        </w:rPr>
        <w:t>Qué no prueba.</w:t>
      </w:r>
      <w:r w:rsidRPr="00391BFA">
        <w:rPr>
          <w:lang w:val="es-ES"/>
        </w:rPr>
        <w:t xml:space="preserve"> Ausencia en un proteoma de referencia no es ausencia en el genoma. Para afirmar "deleción" hace falta tBLASTn contra el genoma ensamblado y análisis de sintenia en la región ortóloga — </w:t>
      </w:r>
      <w:r w:rsidRPr="00391BFA">
        <w:rPr>
          <w:b/>
          <w:lang w:val="es-ES"/>
        </w:rPr>
        <w:t>eso no se hizo</w:t>
      </w:r>
      <w:r w:rsidRPr="00391BFA">
        <w:rPr>
          <w:lang w:val="es-ES"/>
        </w:rPr>
        <w:t xml:space="preserve"> (está en §8 como pendiente). Por ahora la afirmación defendible es "no se detecta en el proteoma de referencia", y con n = 6 embriofitas y n = 12 rodofitas.</w:t>
      </w:r>
    </w:p>
    <w:p w14:paraId="0B61CDBB" w14:textId="77777777" w:rsidR="008C0EC2" w:rsidRPr="00391BFA" w:rsidRDefault="008C0EC2">
      <w:pPr>
        <w:rPr>
          <w:lang w:val="es-ES"/>
        </w:rPr>
      </w:pPr>
    </w:p>
    <w:p w14:paraId="421E3961" w14:textId="77777777" w:rsidR="008C0EC2" w:rsidRPr="00391BFA" w:rsidRDefault="00000000">
      <w:pPr>
        <w:pStyle w:val="Heading2"/>
        <w:rPr>
          <w:lang w:val="es-ES"/>
        </w:rPr>
      </w:pPr>
      <w:r w:rsidRPr="00391BFA">
        <w:rPr>
          <w:lang w:val="es-ES"/>
        </w:rPr>
        <w:t>2.10 — Localización subcelular, esta vez con controles</w:t>
      </w:r>
    </w:p>
    <w:p w14:paraId="1C8C0BCB" w14:textId="77777777" w:rsidR="008C0EC2" w:rsidRPr="00391BFA" w:rsidRDefault="00000000">
      <w:pPr>
        <w:rPr>
          <w:lang w:val="es-ES"/>
        </w:rPr>
      </w:pPr>
      <w:r w:rsidRPr="00391BFA">
        <w:rPr>
          <w:b/>
          <w:lang w:val="es-ES"/>
        </w:rPr>
        <w:t>Qué se hizo.</w:t>
      </w:r>
      <w:r w:rsidRPr="00391BFA">
        <w:rPr>
          <w:lang w:val="es-ES"/>
        </w:rPr>
        <w:t xml:space="preserve"> 73 secuencias a </w:t>
      </w:r>
      <w:r w:rsidRPr="00391BFA">
        <w:rPr>
          <w:b/>
          <w:lang w:val="es-ES"/>
        </w:rPr>
        <w:t>DeepLoc 2.1</w:t>
      </w:r>
      <w:r w:rsidRPr="00391BFA">
        <w:rPr>
          <w:lang w:val="es-ES"/>
        </w:rPr>
        <w:t xml:space="preserve">, </w:t>
      </w:r>
      <w:r w:rsidRPr="00391BFA">
        <w:rPr>
          <w:b/>
          <w:lang w:val="es-ES"/>
        </w:rPr>
        <w:t>TargetP 2.0 (modo Plant)</w:t>
      </w:r>
      <w:r w:rsidRPr="00391BFA">
        <w:rPr>
          <w:lang w:val="es-ES"/>
        </w:rPr>
        <w:t xml:space="preserve">, </w:t>
      </w:r>
      <w:r w:rsidRPr="00391BFA">
        <w:rPr>
          <w:b/>
          <w:lang w:val="es-ES"/>
        </w:rPr>
        <w:t>SignalP 6.0</w:t>
      </w:r>
      <w:r w:rsidRPr="00391BFA">
        <w:rPr>
          <w:lang w:val="es-ES"/>
        </w:rPr>
        <w:t xml:space="preserve"> (modos Eukarya y Other) y </w:t>
      </w:r>
      <w:r w:rsidRPr="00391BFA">
        <w:rPr>
          <w:b/>
          <w:lang w:val="es-ES"/>
        </w:rPr>
        <w:t>DeepTMHMM</w:t>
      </w:r>
      <w:r w:rsidRPr="00391BFA">
        <w:rPr>
          <w:lang w:val="es-ES"/>
        </w:rPr>
        <w:t xml:space="preserve">, con verificación previa de que las longitudes fueran correctas y </w:t>
      </w:r>
      <w:r w:rsidRPr="00391BFA">
        <w:rPr>
          <w:b/>
          <w:lang w:val="es-ES"/>
        </w:rPr>
        <w:t>con un panel de 7 proteínas de destino conocido</w:t>
      </w:r>
      <w:r w:rsidRPr="00391BFA">
        <w:rPr>
          <w:lang w:val="es-ES"/>
        </w:rPr>
        <w:t xml:space="preserve"> como control.</w:t>
      </w:r>
    </w:p>
    <w:p w14:paraId="43AD1E26" w14:textId="77777777" w:rsidR="008C0EC2" w:rsidRPr="00391BFA" w:rsidRDefault="00000000">
      <w:pPr>
        <w:rPr>
          <w:lang w:val="es-ES"/>
        </w:rPr>
      </w:pPr>
      <w:r w:rsidRPr="00391BFA">
        <w:rPr>
          <w:b/>
          <w:lang w:val="es-ES"/>
        </w:rPr>
        <w:t>Por qué cuatro predictores.</w:t>
      </w:r>
      <w:r w:rsidRPr="00391BFA">
        <w:rPr>
          <w:lang w:val="es-ES"/>
        </w:rPr>
        <w:t xml:space="preserve"> Cada uno resuelve una pregunta distinta y ninguno sirve solo: DeepLoc da el compartimento final; TargetP discrimina péptido de tránsito mitocondrial de plastidial; SignalP descarta vía </w:t>
      </w:r>
      <w:r w:rsidRPr="00391BFA">
        <w:rPr>
          <w:lang w:val="es-ES"/>
        </w:rPr>
        <w:lastRenderedPageBreak/>
        <w:t>secretoria; DeepTMHMM descarta hélices transmembrana. Que los cuatro coincidan en "no es de membrana, no es secretoria, no es plastidial" es más informativo que un número de un solo servidor.</w:t>
      </w:r>
    </w:p>
    <w:p w14:paraId="636A6282" w14:textId="77777777" w:rsidR="008C0EC2" w:rsidRPr="00391BFA" w:rsidRDefault="00000000">
      <w:pPr>
        <w:rPr>
          <w:lang w:val="es-ES"/>
        </w:rPr>
      </w:pPr>
      <w:r w:rsidRPr="00391BFA">
        <w:rPr>
          <w:b/>
          <w:lang w:val="es-ES"/>
        </w:rPr>
        <w:t>Por qué el panel de control.</w:t>
      </w:r>
      <w:r w:rsidRPr="00391BFA">
        <w:rPr>
          <w:lang w:val="es-ES"/>
        </w:rPr>
        <w:t xml:space="preserve"> Por el escarmiento del §2.4.</w:t>
      </w:r>
    </w:p>
    <w:p w14:paraId="0351F2BE" w14:textId="77777777" w:rsidR="008C0EC2" w:rsidRPr="00391BFA" w:rsidRDefault="00000000">
      <w:pPr>
        <w:rPr>
          <w:lang w:val="es-ES"/>
        </w:rPr>
      </w:pPr>
      <w:r w:rsidRPr="00391BFA">
        <w:rPr>
          <w:b/>
          <w:lang w:val="es-ES"/>
        </w:rPr>
        <w:t>Qué dio.</w:t>
      </w:r>
      <w:r w:rsidRPr="00391BFA">
        <w:rPr>
          <w:lang w:val="es-ES"/>
        </w:rPr>
        <w:t xml:space="preserve"> De las 61 secuencias con predicción fiable:</w:t>
      </w:r>
    </w:p>
    <w:tbl>
      <w:tblPr>
        <w:tblStyle w:val="LightGrid-Accent1"/>
        <w:tblW w:w="0" w:type="auto"/>
        <w:jc w:val="center"/>
        <w:tblLook w:val="04A0" w:firstRow="1" w:lastRow="0" w:firstColumn="1" w:lastColumn="0" w:noHBand="0" w:noVBand="1"/>
      </w:tblPr>
      <w:tblGrid>
        <w:gridCol w:w="4896"/>
        <w:gridCol w:w="4896"/>
      </w:tblGrid>
      <w:tr w:rsidR="008C0EC2" w14:paraId="622A9FF2"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DA0A82" w14:textId="77777777" w:rsidR="008C0EC2" w:rsidRDefault="00000000">
            <w:r>
              <w:rPr>
                <w:sz w:val="17"/>
              </w:rPr>
              <w:t>Predicción</w:t>
            </w:r>
          </w:p>
        </w:tc>
        <w:tc>
          <w:tcPr>
            <w:tcW w:w="4896" w:type="dxa"/>
          </w:tcPr>
          <w:p w14:paraId="3CD212DE"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n</w:t>
            </w:r>
          </w:p>
        </w:tc>
      </w:tr>
      <w:tr w:rsidR="008C0EC2" w14:paraId="57AF76ED"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846E3D4" w14:textId="77777777" w:rsidR="008C0EC2" w:rsidRDefault="00000000">
            <w:r>
              <w:rPr>
                <w:sz w:val="17"/>
              </w:rPr>
              <w:t>Citoplasma</w:t>
            </w:r>
          </w:p>
        </w:tc>
        <w:tc>
          <w:tcPr>
            <w:tcW w:w="4896" w:type="dxa"/>
          </w:tcPr>
          <w:p w14:paraId="729EF87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25</w:t>
            </w:r>
          </w:p>
        </w:tc>
      </w:tr>
      <w:tr w:rsidR="008C0EC2" w14:paraId="1D234EA1"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1723FD6" w14:textId="77777777" w:rsidR="008C0EC2" w:rsidRDefault="00000000">
            <w:r>
              <w:rPr>
                <w:sz w:val="17"/>
              </w:rPr>
              <w:t>Mitocondria</w:t>
            </w:r>
          </w:p>
        </w:tc>
        <w:tc>
          <w:tcPr>
            <w:tcW w:w="4896" w:type="dxa"/>
          </w:tcPr>
          <w:p w14:paraId="1707B12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15</w:t>
            </w:r>
          </w:p>
        </w:tc>
      </w:tr>
      <w:tr w:rsidR="008C0EC2" w14:paraId="193FC7A9"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8C3D55" w14:textId="77777777" w:rsidR="008C0EC2" w:rsidRDefault="00000000">
            <w:r>
              <w:rPr>
                <w:sz w:val="17"/>
              </w:rPr>
              <w:t>Citoplasma + mitocondria</w:t>
            </w:r>
          </w:p>
        </w:tc>
        <w:tc>
          <w:tcPr>
            <w:tcW w:w="4896" w:type="dxa"/>
          </w:tcPr>
          <w:p w14:paraId="1519C8F9"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13</w:t>
            </w:r>
          </w:p>
        </w:tc>
      </w:tr>
      <w:tr w:rsidR="008C0EC2" w14:paraId="41073A4B"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EDB51A5" w14:textId="77777777" w:rsidR="008C0EC2" w:rsidRDefault="00000000">
            <w:r>
              <w:rPr>
                <w:sz w:val="17"/>
              </w:rPr>
              <w:t>Plástido</w:t>
            </w:r>
          </w:p>
        </w:tc>
        <w:tc>
          <w:tcPr>
            <w:tcW w:w="4896" w:type="dxa"/>
          </w:tcPr>
          <w:p w14:paraId="7ED80A11"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2</w:t>
            </w:r>
          </w:p>
        </w:tc>
      </w:tr>
    </w:tbl>
    <w:p w14:paraId="4D541C7F" w14:textId="77777777" w:rsidR="008C0EC2" w:rsidRDefault="008C0EC2"/>
    <w:p w14:paraId="2ED61864" w14:textId="77777777" w:rsidR="008C0EC2" w:rsidRPr="00391BFA" w:rsidRDefault="00000000">
      <w:pPr>
        <w:rPr>
          <w:lang w:val="es-ES"/>
        </w:rPr>
      </w:pPr>
      <w:r w:rsidRPr="00391BFA">
        <w:rPr>
          <w:lang w:val="es-ES"/>
        </w:rPr>
        <w:t xml:space="preserve">Medianas de probabilidad: citoplasma 0,65 · mitocondria 0,64 · </w:t>
      </w:r>
      <w:r w:rsidRPr="00391BFA">
        <w:rPr>
          <w:b/>
          <w:lang w:val="es-ES"/>
        </w:rPr>
        <w:t>plástido 0,13</w:t>
      </w:r>
      <w:r w:rsidRPr="00391BFA">
        <w:rPr>
          <w:lang w:val="es-ES"/>
        </w:rPr>
        <w:t xml:space="preserve"> · retículo 0,17. TargetP: 48 OTHER, 5 SP, 4 mTP, 4 cTP. 60 de 61 sin péptido señal; 0 hélices transmembrana.</w:t>
      </w:r>
    </w:p>
    <w:p w14:paraId="66728F84" w14:textId="77777777" w:rsidR="008C0EC2" w:rsidRDefault="00000000">
      <w:pPr>
        <w:jc w:val="center"/>
      </w:pPr>
      <w:r>
        <w:rPr>
          <w:noProof/>
        </w:rPr>
        <w:drawing>
          <wp:inline distT="0" distB="0" distL="0" distR="0" wp14:anchorId="64EE7E65" wp14:editId="2C73E2AD">
            <wp:extent cx="5120640" cy="25553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lizacion_scly.png"/>
                    <pic:cNvPicPr/>
                  </pic:nvPicPr>
                  <pic:blipFill>
                    <a:blip r:embed="rId19"/>
                    <a:stretch>
                      <a:fillRect/>
                    </a:stretch>
                  </pic:blipFill>
                  <pic:spPr>
                    <a:xfrm>
                      <a:off x="0" y="0"/>
                      <a:ext cx="5120640" cy="2555392"/>
                    </a:xfrm>
                    <a:prstGeom prst="rect">
                      <a:avLst/>
                    </a:prstGeom>
                  </pic:spPr>
                </pic:pic>
              </a:graphicData>
            </a:graphic>
          </wp:inline>
        </w:drawing>
      </w:r>
    </w:p>
    <w:p w14:paraId="53F896F7" w14:textId="77777777" w:rsidR="008C0EC2" w:rsidRPr="00391BFA" w:rsidRDefault="00000000">
      <w:pPr>
        <w:jc w:val="center"/>
        <w:rPr>
          <w:lang w:val="es-ES"/>
        </w:rPr>
      </w:pPr>
      <w:r w:rsidRPr="00391BFA">
        <w:rPr>
          <w:i/>
          <w:color w:val="555555"/>
          <w:sz w:val="17"/>
          <w:lang w:val="es-ES"/>
        </w:rPr>
        <w:t>Localización predicha del clado SCLY-like</w:t>
      </w:r>
    </w:p>
    <w:p w14:paraId="02C45DAC" w14:textId="77777777" w:rsidR="008C0EC2" w:rsidRPr="00391BFA" w:rsidRDefault="00000000">
      <w:pPr>
        <w:rPr>
          <w:lang w:val="es-ES"/>
        </w:rPr>
      </w:pPr>
      <w:r w:rsidRPr="00391BFA">
        <w:rPr>
          <w:b/>
          <w:lang w:val="es-ES"/>
        </w:rPr>
        <w:t>El panel de control acertó 4 de 7.</w:t>
      </w:r>
      <w:r w:rsidRPr="00391BFA">
        <w:rPr>
          <w:lang w:val="es-ES"/>
        </w:rPr>
        <w:t xml:space="preserve"> Falló en: NFS2 de </w:t>
      </w:r>
      <w:r w:rsidRPr="00391BFA">
        <w:rPr>
          <w:i/>
          <w:lang w:val="es-ES"/>
        </w:rPr>
        <w:t>Chlamydomonas</w:t>
      </w:r>
      <w:r w:rsidRPr="00391BFA">
        <w:rPr>
          <w:lang w:val="es-ES"/>
        </w:rPr>
        <w:t xml:space="preserve"> (predijo mitocondria 0,93 cuando es plastidial), NFS1 de PABB004 (predijo citoplasma 0,84 cuando es mitocondrial), y TargetP falló para las dos de PABB004 (cTP 0,057).</w:t>
      </w:r>
    </w:p>
    <w:p w14:paraId="424A3E17" w14:textId="77777777" w:rsidR="008C0EC2" w:rsidRPr="00391BFA" w:rsidRDefault="00000000">
      <w:pPr>
        <w:rPr>
          <w:lang w:val="es-ES"/>
        </w:rPr>
      </w:pPr>
      <w:r w:rsidRPr="00391BFA">
        <w:rPr>
          <w:b/>
          <w:lang w:val="es-ES"/>
        </w:rPr>
        <w:t>Conclusión honesta, y es la que hay que escribir en el paper.</w:t>
      </w:r>
      <w:r w:rsidRPr="00391BFA">
        <w:rPr>
          <w:lang w:val="es-ES"/>
        </w:rPr>
        <w:t xml:space="preserve"> Este conjunto de predictores </w:t>
      </w:r>
      <w:r w:rsidRPr="00391BFA">
        <w:rPr>
          <w:b/>
          <w:lang w:val="es-ES"/>
        </w:rPr>
        <w:t>sirve para descartar plástido</w:t>
      </w:r>
      <w:r w:rsidRPr="00391BFA">
        <w:rPr>
          <w:lang w:val="es-ES"/>
        </w:rPr>
        <w:t xml:space="preserve"> (es lo único en lo que el panel de control no falló, y la señal es masiva: mediana 0,13). </w:t>
      </w:r>
      <w:r w:rsidRPr="00391BFA">
        <w:rPr>
          <w:b/>
          <w:lang w:val="es-ES"/>
        </w:rPr>
        <w:t>No sirve para decidir citosol versus mitocondria</w:t>
      </w:r>
      <w:r w:rsidRPr="00391BFA">
        <w:rPr>
          <w:lang w:val="es-ES"/>
        </w:rPr>
        <w:t xml:space="preserve"> en este grupo de proteínas. Decir "SCLY-like es citosólica" sería sobreinterpretar. Lo correcto es: </w:t>
      </w:r>
      <w:r w:rsidRPr="00391BFA">
        <w:rPr>
          <w:i/>
          <w:lang w:val="es-ES"/>
        </w:rPr>
        <w:t>no es plastidial; es citosólica y/o mitocondrial</w:t>
      </w:r>
      <w:r w:rsidRPr="00391BFA">
        <w:rPr>
          <w:lang w:val="es-ES"/>
        </w:rPr>
        <w:t>, consistente con la SCLY animal, que es citosólica.</w:t>
      </w:r>
    </w:p>
    <w:p w14:paraId="353CD173" w14:textId="77777777" w:rsidR="008C0EC2" w:rsidRPr="00391BFA" w:rsidRDefault="008C0EC2">
      <w:pPr>
        <w:rPr>
          <w:lang w:val="es-ES"/>
        </w:rPr>
      </w:pPr>
    </w:p>
    <w:p w14:paraId="793BF221" w14:textId="77777777" w:rsidR="008C0EC2" w:rsidRPr="00391BFA" w:rsidRDefault="00000000">
      <w:pPr>
        <w:pStyle w:val="Heading2"/>
        <w:rPr>
          <w:lang w:val="es-ES"/>
        </w:rPr>
      </w:pPr>
      <w:r w:rsidRPr="00391BFA">
        <w:rPr>
          <w:lang w:val="es-ES"/>
        </w:rPr>
        <w:t>2.11 — Estructura: por qué se abandonó el docking ⚠</w:t>
      </w:r>
    </w:p>
    <w:p w14:paraId="0BC4D587" w14:textId="77777777" w:rsidR="008C0EC2" w:rsidRPr="00391BFA" w:rsidRDefault="00000000">
      <w:pPr>
        <w:rPr>
          <w:lang w:val="es-ES"/>
        </w:rPr>
      </w:pPr>
      <w:r w:rsidRPr="00391BFA">
        <w:rPr>
          <w:b/>
          <w:lang w:val="es-ES"/>
        </w:rPr>
        <w:t>Qué se hizo primero (y se descartó).</w:t>
      </w:r>
      <w:r w:rsidRPr="00391BFA">
        <w:rPr>
          <w:lang w:val="es-ES"/>
        </w:rPr>
        <w:t xml:space="preserve"> Dos notebooks de docking comparativo con AutoDock Vina: selenocisteína contra los sitios activos de HText, NFS1 y NFS2.</w:t>
      </w:r>
    </w:p>
    <w:p w14:paraId="19404123" w14:textId="77777777" w:rsidR="008C0EC2" w:rsidRPr="00391BFA" w:rsidRDefault="00000000">
      <w:pPr>
        <w:rPr>
          <w:lang w:val="es-ES"/>
        </w:rPr>
      </w:pPr>
      <w:r w:rsidRPr="00391BFA">
        <w:rPr>
          <w:b/>
          <w:lang w:val="es-ES"/>
        </w:rPr>
        <w:lastRenderedPageBreak/>
        <w:t>Por qué se descartó — tres razones independientes, cada una suficiente.</w:t>
      </w:r>
    </w:p>
    <w:p w14:paraId="510F8BD1" w14:textId="77777777" w:rsidR="008C0EC2" w:rsidRPr="00391BFA" w:rsidRDefault="00000000">
      <w:pPr>
        <w:pStyle w:val="ListNumber"/>
        <w:rPr>
          <w:lang w:val="es-ES"/>
        </w:rPr>
      </w:pPr>
      <w:r w:rsidRPr="00391BFA">
        <w:rPr>
          <w:b/>
          <w:lang w:val="es-ES"/>
        </w:rPr>
        <w:t>El ligando no era selenocisteína.</w:t>
      </w:r>
      <w:r w:rsidRPr="00391BFA">
        <w:rPr>
          <w:lang w:val="es-ES"/>
        </w:rPr>
        <w:t xml:space="preserve"> Ambos scripts ejecutan </w:t>
      </w:r>
      <w:r w:rsidRPr="00391BFA">
        <w:rPr>
          <w:rFonts w:ascii="Consolas" w:hAnsi="Consolas"/>
          <w:sz w:val="18"/>
          <w:lang w:val="es-ES"/>
        </w:rPr>
        <w:t>sed -i 's/Se$/S /g'</w:t>
      </w:r>
      <w:r w:rsidRPr="00391BFA">
        <w:rPr>
          <w:lang w:val="es-ES"/>
        </w:rPr>
        <w:t xml:space="preserve"> sobre el PDBQT del ligando. Eso </w:t>
      </w:r>
      <w:r w:rsidRPr="00391BFA">
        <w:rPr>
          <w:b/>
          <w:lang w:val="es-ES"/>
        </w:rPr>
        <w:t>reemplaza el selenio por azufre</w:t>
      </w:r>
      <w:r w:rsidRPr="00391BFA">
        <w:rPr>
          <w:lang w:val="es-ES"/>
        </w:rPr>
        <w:t>. El docking se corrió con cisteína, no con selenocisteína. Toda la comparación Cys-vs-Sec que el ensayo pretendía hacer es, literalmente, Cys contra Cys.</w:t>
      </w:r>
    </w:p>
    <w:p w14:paraId="5C73C24A" w14:textId="77777777" w:rsidR="008C0EC2" w:rsidRPr="00391BFA" w:rsidRDefault="00000000">
      <w:pPr>
        <w:pStyle w:val="ListNumber"/>
        <w:rPr>
          <w:lang w:val="es-ES"/>
        </w:rPr>
      </w:pPr>
      <w:r w:rsidRPr="00391BFA">
        <w:rPr>
          <w:b/>
          <w:lang w:val="es-ES"/>
        </w:rPr>
        <w:t>El receptor estaba vacío.</w:t>
      </w:r>
      <w:r w:rsidRPr="00391BFA">
        <w:rPr>
          <w:lang w:val="es-ES"/>
        </w:rPr>
        <w:t xml:space="preserve"> Se dockeó sobre la apoenzima, sin el PLP. El PLP es el cofactor covalente que forma la base de Schiff con la lisina y que define la geometría del sitio activo. Sin PLP, la cavidad que ve Vina no es el sitio activo real.</w:t>
      </w:r>
    </w:p>
    <w:p w14:paraId="5FF18A44" w14:textId="77777777" w:rsidR="008C0EC2" w:rsidRPr="00391BFA" w:rsidRDefault="00000000">
      <w:pPr>
        <w:pStyle w:val="ListNumber"/>
        <w:rPr>
          <w:lang w:val="es-ES"/>
        </w:rPr>
      </w:pPr>
      <w:r w:rsidRPr="00391BFA">
        <w:rPr>
          <w:b/>
          <w:lang w:val="es-ES"/>
        </w:rPr>
        <w:t>Los parámetros no coinciden con el texto.</w:t>
      </w:r>
      <w:r w:rsidRPr="00391BFA">
        <w:rPr>
          <w:lang w:val="es-ES"/>
        </w:rPr>
        <w:t xml:space="preserve"> Caja de 22 Å (demasiado grande, el resultado se vuelve ruido de muestreo), </w:t>
      </w:r>
      <w:r w:rsidRPr="00391BFA">
        <w:rPr>
          <w:rFonts w:ascii="Consolas" w:hAnsi="Consolas"/>
          <w:sz w:val="18"/>
          <w:lang w:val="es-ES"/>
        </w:rPr>
        <w:t>exhaustiveness</w:t>
      </w:r>
      <w:r w:rsidRPr="00391BFA">
        <w:rPr>
          <w:lang w:val="es-ES"/>
        </w:rPr>
        <w:t xml:space="preserve"> = 8 en el código contra 32 declarado en el texto, y los notebooks no tienen outputs guardados — no hay forma de auditar qué se corrió.</w:t>
      </w:r>
    </w:p>
    <w:p w14:paraId="5052366F" w14:textId="77777777" w:rsidR="008C0EC2" w:rsidRPr="00391BFA" w:rsidRDefault="00000000">
      <w:pPr>
        <w:rPr>
          <w:lang w:val="es-ES"/>
        </w:rPr>
      </w:pPr>
      <w:r w:rsidRPr="00391BFA">
        <w:rPr>
          <w:b/>
          <w:lang w:val="es-ES"/>
        </w:rPr>
        <w:t>Además, el problema de fondo.</w:t>
      </w:r>
      <w:r w:rsidRPr="00391BFA">
        <w:rPr>
          <w:lang w:val="es-ES"/>
        </w:rPr>
        <w:t xml:space="preserve"> Aun con el docking bien hecho, no serviría para la conclusión que se le quería sacar. La diferencia energética entre Cys y Sec en una cavidad de este tipo es de fracciones de kcal/mol, muy por debajo del error de las funciones de puntuación empíricas de Vina (~2 kcal/mol). </w:t>
      </w:r>
      <w:r w:rsidRPr="00391BFA">
        <w:rPr>
          <w:b/>
          <w:lang w:val="es-ES"/>
        </w:rPr>
        <w:t>La especificidad Cys versus Sec no es resoluble por docking.</w:t>
      </w:r>
      <w:r w:rsidRPr="00391BFA">
        <w:rPr>
          <w:lang w:val="es-ES"/>
        </w:rPr>
        <w:t xml:space="preserve"> Requiere QM/MM o el ensayo enzimático.</w:t>
      </w:r>
    </w:p>
    <w:p w14:paraId="7CFF1118" w14:textId="77777777" w:rsidR="008C0EC2" w:rsidRPr="00391BFA" w:rsidRDefault="00000000">
      <w:pPr>
        <w:rPr>
          <w:lang w:val="es-ES"/>
        </w:rPr>
      </w:pPr>
      <w:r w:rsidRPr="00391BFA">
        <w:rPr>
          <w:b/>
          <w:lang w:val="es-ES"/>
        </w:rPr>
        <w:t>Qué se hizo en su lugar: transferencia de ligando por superposición estructural.</w:t>
      </w:r>
    </w:p>
    <w:p w14:paraId="603FBE94" w14:textId="77777777" w:rsidR="008C0EC2" w:rsidRPr="00391BFA" w:rsidRDefault="00000000">
      <w:pPr>
        <w:rPr>
          <w:lang w:val="es-ES"/>
        </w:rPr>
      </w:pPr>
      <w:r w:rsidRPr="00391BFA">
        <w:rPr>
          <w:lang w:val="es-ES"/>
        </w:rPr>
        <w:t xml:space="preserve">En vez de predecir dónde se uniría el sustrato, se </w:t>
      </w:r>
      <w:r w:rsidRPr="00391BFA">
        <w:rPr>
          <w:b/>
          <w:lang w:val="es-ES"/>
        </w:rPr>
        <w:t>tomó prestada la posición experimental</w:t>
      </w:r>
      <w:r w:rsidRPr="00391BFA">
        <w:rPr>
          <w:lang w:val="es-ES"/>
        </w:rPr>
        <w:t xml:space="preserve"> del sustrato desde cristales que ya lo tienen resuelto, y se la trasladó a los modelos por superposición rígida con </w:t>
      </w:r>
      <w:r w:rsidRPr="00391BFA">
        <w:rPr>
          <w:b/>
          <w:lang w:val="es-ES"/>
        </w:rPr>
        <w:t>TM-align</w:t>
      </w:r>
      <w:r w:rsidRPr="00391BFA">
        <w:rPr>
          <w:lang w:val="es-ES"/>
        </w:rPr>
        <w:t>.</w:t>
      </w:r>
    </w:p>
    <w:p w14:paraId="087F0D29" w14:textId="77777777" w:rsidR="008C0EC2" w:rsidRPr="00391BFA" w:rsidRDefault="00000000">
      <w:pPr>
        <w:rPr>
          <w:lang w:val="es-ES"/>
        </w:rPr>
      </w:pPr>
      <w:r w:rsidRPr="00391BFA">
        <w:rPr>
          <w:b/>
          <w:lang w:val="es-ES"/>
        </w:rPr>
        <w:t>Por qué esto sí es defendible.</w:t>
      </w:r>
      <w:r w:rsidRPr="00391BFA">
        <w:rPr>
          <w:lang w:val="es-ES"/>
        </w:rPr>
        <w:t xml:space="preserve"> No hay predicción: la posición del ligando viene de densidad electrónica experimental. Lo único que se asume es que el plegamiento se superpone bien, y eso se mide (TM-score) y se valida (la lisina del PLP tiene que caer en el mismo lugar).</w:t>
      </w:r>
    </w:p>
    <w:p w14:paraId="0D2885C3" w14:textId="77777777" w:rsidR="008C0EC2" w:rsidRPr="00391BFA" w:rsidRDefault="00000000">
      <w:pPr>
        <w:rPr>
          <w:lang w:val="es-ES"/>
        </w:rPr>
      </w:pPr>
      <w:r w:rsidRPr="00391BFA">
        <w:rPr>
          <w:b/>
          <w:lang w:val="es-ES"/>
        </w:rPr>
        <w:t>Cristales usados y por qué cada uno:</w:t>
      </w:r>
    </w:p>
    <w:tbl>
      <w:tblPr>
        <w:tblStyle w:val="LightGrid-Accent1"/>
        <w:tblW w:w="0" w:type="auto"/>
        <w:jc w:val="center"/>
        <w:tblLook w:val="04A0" w:firstRow="1" w:lastRow="0" w:firstColumn="1" w:lastColumn="0" w:noHBand="0" w:noVBand="1"/>
      </w:tblPr>
      <w:tblGrid>
        <w:gridCol w:w="3264"/>
        <w:gridCol w:w="3264"/>
        <w:gridCol w:w="3264"/>
      </w:tblGrid>
      <w:tr w:rsidR="008C0EC2" w14:paraId="70EDD00F"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6A02F3A" w14:textId="77777777" w:rsidR="008C0EC2" w:rsidRDefault="00000000">
            <w:r>
              <w:rPr>
                <w:sz w:val="17"/>
              </w:rPr>
              <w:t>PDB</w:t>
            </w:r>
          </w:p>
        </w:tc>
        <w:tc>
          <w:tcPr>
            <w:tcW w:w="3264" w:type="dxa"/>
          </w:tcPr>
          <w:p w14:paraId="2A40B66A"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Qué aporta</w:t>
            </w:r>
          </w:p>
        </w:tc>
        <w:tc>
          <w:tcPr>
            <w:tcW w:w="3264" w:type="dxa"/>
          </w:tcPr>
          <w:p w14:paraId="0FA2BB08"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Validación</w:t>
            </w:r>
          </w:p>
        </w:tc>
      </w:tr>
      <w:tr w:rsidR="008C0EC2" w14:paraId="28478045"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E53CB74" w14:textId="77777777" w:rsidR="008C0EC2" w:rsidRDefault="00000000">
            <w:r>
              <w:rPr>
                <w:rFonts w:ascii="Consolas" w:hAnsi="Consolas"/>
                <w:sz w:val="17"/>
              </w:rPr>
              <w:t>3A9Z</w:t>
            </w:r>
          </w:p>
        </w:tc>
        <w:tc>
          <w:tcPr>
            <w:tcW w:w="3264" w:type="dxa"/>
          </w:tcPr>
          <w:p w14:paraId="1FB112A9"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 xml:space="preserve">SCLY de rata </w:t>
            </w:r>
            <w:r w:rsidRPr="00391BFA">
              <w:rPr>
                <w:b/>
                <w:sz w:val="17"/>
                <w:lang w:val="es-ES"/>
              </w:rPr>
              <w:t>con selenopropionato</w:t>
            </w:r>
            <w:r w:rsidRPr="00391BFA">
              <w:rPr>
                <w:sz w:val="17"/>
                <w:lang w:val="es-ES"/>
              </w:rPr>
              <w:t xml:space="preserve"> y PLP</w:t>
            </w:r>
          </w:p>
        </w:tc>
        <w:tc>
          <w:tcPr>
            <w:tcW w:w="3264" w:type="dxa"/>
          </w:tcPr>
          <w:p w14:paraId="6725981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referencia directa del clado</w:t>
            </w:r>
          </w:p>
        </w:tc>
      </w:tr>
      <w:tr w:rsidR="008C0EC2" w:rsidRPr="00391BFA" w14:paraId="2E71EE79"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A10A477" w14:textId="77777777" w:rsidR="008C0EC2" w:rsidRDefault="00000000">
            <w:r>
              <w:rPr>
                <w:rFonts w:ascii="Consolas" w:hAnsi="Consolas"/>
                <w:sz w:val="17"/>
              </w:rPr>
              <w:t>1KMK</w:t>
            </w:r>
          </w:p>
        </w:tc>
        <w:tc>
          <w:tcPr>
            <w:tcW w:w="3264" w:type="dxa"/>
          </w:tcPr>
          <w:p w14:paraId="4B825B6C"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 xml:space="preserve">CsdB/SufS con </w:t>
            </w:r>
            <w:r w:rsidRPr="00391BFA">
              <w:rPr>
                <w:b/>
                <w:sz w:val="17"/>
                <w:lang w:val="es-ES"/>
              </w:rPr>
              <w:t>perselenuro covalente</w:t>
            </w:r>
            <w:r w:rsidRPr="00391BFA">
              <w:rPr>
                <w:sz w:val="17"/>
                <w:lang w:val="es-ES"/>
              </w:rPr>
              <w:t xml:space="preserve"> (CSZ364) + PLP</w:t>
            </w:r>
          </w:p>
        </w:tc>
        <w:tc>
          <w:tcPr>
            <w:tcW w:w="3264" w:type="dxa"/>
          </w:tcPr>
          <w:p w14:paraId="62FA112E"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el estado de intermediario real</w:t>
            </w:r>
          </w:p>
        </w:tc>
      </w:tr>
      <w:tr w:rsidR="008C0EC2" w14:paraId="53BC273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3D66CD9" w14:textId="77777777" w:rsidR="008C0EC2" w:rsidRDefault="00000000">
            <w:r>
              <w:rPr>
                <w:rFonts w:ascii="Consolas" w:hAnsi="Consolas"/>
                <w:sz w:val="17"/>
              </w:rPr>
              <w:t>1P3W</w:t>
            </w:r>
          </w:p>
        </w:tc>
        <w:tc>
          <w:tcPr>
            <w:tcW w:w="3264" w:type="dxa"/>
          </w:tcPr>
          <w:p w14:paraId="341AB951"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IscS con PLP, Lys206</w:t>
            </w:r>
          </w:p>
        </w:tc>
        <w:tc>
          <w:tcPr>
            <w:tcW w:w="3264" w:type="dxa"/>
          </w:tcPr>
          <w:p w14:paraId="00443544"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control del grupo I</w:t>
            </w:r>
          </w:p>
        </w:tc>
      </w:tr>
    </w:tbl>
    <w:p w14:paraId="7438C3E4" w14:textId="77777777" w:rsidR="008C0EC2" w:rsidRDefault="008C0EC2"/>
    <w:p w14:paraId="40BFED6D" w14:textId="77777777" w:rsidR="008C0EC2" w:rsidRPr="00391BFA" w:rsidRDefault="00000000">
      <w:pPr>
        <w:rPr>
          <w:lang w:val="es-ES"/>
        </w:rPr>
      </w:pPr>
      <w:r w:rsidRPr="00391BFA">
        <w:rPr>
          <w:b/>
          <w:lang w:val="es-ES"/>
        </w:rPr>
        <w:t>Validación del método.</w:t>
      </w:r>
      <w:r w:rsidRPr="00391BFA">
        <w:rPr>
          <w:lang w:val="es-ES"/>
        </w:rPr>
        <w:t xml:space="preserve"> La lisina del PLP coincide con las tres referencias independientes, y el carbono C4A transferido cae a </w:t>
      </w:r>
      <w:r w:rsidRPr="00391BFA">
        <w:rPr>
          <w:b/>
          <w:lang w:val="es-ES"/>
        </w:rPr>
        <w:t>1,3–3,0 Å</w:t>
      </w:r>
      <w:r w:rsidRPr="00391BFA">
        <w:rPr>
          <w:lang w:val="es-ES"/>
        </w:rPr>
        <w:t xml:space="preserve"> del NZ de la lisina del modelo. Es decir, la superposición reconstruye la base de Schiff. Si el método fuera basura, esa distancia saldría en decenas de ångströms.</w:t>
      </w:r>
    </w:p>
    <w:p w14:paraId="1E044225" w14:textId="77777777" w:rsidR="008C0EC2" w:rsidRDefault="00000000">
      <w:r>
        <w:rPr>
          <w:b/>
        </w:rPr>
        <w:t>TM-scores obtenidos:</w:t>
      </w:r>
    </w:p>
    <w:tbl>
      <w:tblPr>
        <w:tblStyle w:val="LightGrid-Accent1"/>
        <w:tblW w:w="0" w:type="auto"/>
        <w:jc w:val="center"/>
        <w:tblLook w:val="04A0" w:firstRow="1" w:lastRow="0" w:firstColumn="1" w:lastColumn="0" w:noHBand="0" w:noVBand="1"/>
      </w:tblPr>
      <w:tblGrid>
        <w:gridCol w:w="3264"/>
        <w:gridCol w:w="3264"/>
        <w:gridCol w:w="3264"/>
      </w:tblGrid>
      <w:tr w:rsidR="008C0EC2" w14:paraId="7431D723"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46A4D3A" w14:textId="77777777" w:rsidR="008C0EC2" w:rsidRDefault="00000000">
            <w:r>
              <w:rPr>
                <w:sz w:val="17"/>
              </w:rPr>
              <w:t>Comparación</w:t>
            </w:r>
          </w:p>
        </w:tc>
        <w:tc>
          <w:tcPr>
            <w:tcW w:w="3264" w:type="dxa"/>
          </w:tcPr>
          <w:p w14:paraId="1D215E00"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TM-score</w:t>
            </w:r>
          </w:p>
        </w:tc>
        <w:tc>
          <w:tcPr>
            <w:tcW w:w="3264" w:type="dxa"/>
          </w:tcPr>
          <w:p w14:paraId="241FD4C2"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RMSD</w:t>
            </w:r>
          </w:p>
        </w:tc>
      </w:tr>
      <w:tr w:rsidR="008C0EC2" w14:paraId="08DC3FA1"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717508D" w14:textId="77777777" w:rsidR="008C0EC2" w:rsidRDefault="00000000">
            <w:r>
              <w:rPr>
                <w:sz w:val="17"/>
              </w:rPr>
              <w:t xml:space="preserve">SCLY humana vs </w:t>
            </w:r>
            <w:r>
              <w:rPr>
                <w:rFonts w:ascii="Consolas" w:hAnsi="Consolas"/>
                <w:sz w:val="17"/>
              </w:rPr>
              <w:t>3A9Z</w:t>
            </w:r>
          </w:p>
        </w:tc>
        <w:tc>
          <w:tcPr>
            <w:tcW w:w="3264" w:type="dxa"/>
          </w:tcPr>
          <w:p w14:paraId="147A0E5D"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0,99</w:t>
            </w:r>
          </w:p>
        </w:tc>
        <w:tc>
          <w:tcPr>
            <w:tcW w:w="3264" w:type="dxa"/>
          </w:tcPr>
          <w:p w14:paraId="2985B0C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0,82 Å</w:t>
            </w:r>
          </w:p>
        </w:tc>
      </w:tr>
      <w:tr w:rsidR="008C0EC2" w14:paraId="7B9C239A"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481BBD7" w14:textId="77777777" w:rsidR="008C0EC2" w:rsidRDefault="00000000">
            <w:r>
              <w:rPr>
                <w:sz w:val="17"/>
              </w:rPr>
              <w:t xml:space="preserve">NFS1 Chlamy vs </w:t>
            </w:r>
            <w:r>
              <w:rPr>
                <w:rFonts w:ascii="Consolas" w:hAnsi="Consolas"/>
                <w:sz w:val="17"/>
              </w:rPr>
              <w:t>1P3W</w:t>
            </w:r>
          </w:p>
        </w:tc>
        <w:tc>
          <w:tcPr>
            <w:tcW w:w="3264" w:type="dxa"/>
          </w:tcPr>
          <w:p w14:paraId="000FCB00"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0,98</w:t>
            </w:r>
          </w:p>
        </w:tc>
        <w:tc>
          <w:tcPr>
            <w:tcW w:w="3264" w:type="dxa"/>
          </w:tcPr>
          <w:p w14:paraId="78EB72B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w:t>
            </w:r>
          </w:p>
        </w:tc>
      </w:tr>
      <w:tr w:rsidR="008C0EC2" w14:paraId="23590FAB"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00ECC0C" w14:textId="77777777" w:rsidR="008C0EC2" w:rsidRDefault="00000000">
            <w:r>
              <w:rPr>
                <w:sz w:val="17"/>
              </w:rPr>
              <w:t xml:space="preserve">NFS2 Chlamy vs </w:t>
            </w:r>
            <w:r>
              <w:rPr>
                <w:rFonts w:ascii="Consolas" w:hAnsi="Consolas"/>
                <w:sz w:val="17"/>
              </w:rPr>
              <w:t>1KMK</w:t>
            </w:r>
          </w:p>
        </w:tc>
        <w:tc>
          <w:tcPr>
            <w:tcW w:w="3264" w:type="dxa"/>
          </w:tcPr>
          <w:p w14:paraId="42B6C10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0,98</w:t>
            </w:r>
          </w:p>
        </w:tc>
        <w:tc>
          <w:tcPr>
            <w:tcW w:w="3264" w:type="dxa"/>
          </w:tcPr>
          <w:p w14:paraId="7816F244"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w:t>
            </w:r>
          </w:p>
        </w:tc>
      </w:tr>
      <w:tr w:rsidR="008C0EC2" w14:paraId="07F4BCF6"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ABADB6E" w14:textId="77777777" w:rsidR="008C0EC2" w:rsidRDefault="00000000">
            <w:r>
              <w:rPr>
                <w:sz w:val="17"/>
              </w:rPr>
              <w:t>Núcleo de HText vs SCLY</w:t>
            </w:r>
          </w:p>
        </w:tc>
        <w:tc>
          <w:tcPr>
            <w:tcW w:w="3264" w:type="dxa"/>
          </w:tcPr>
          <w:p w14:paraId="5D80C94D"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0,948</w:t>
            </w:r>
          </w:p>
        </w:tc>
        <w:tc>
          <w:tcPr>
            <w:tcW w:w="3264" w:type="dxa"/>
          </w:tcPr>
          <w:p w14:paraId="30B76D9C"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w:t>
            </w:r>
          </w:p>
        </w:tc>
      </w:tr>
      <w:tr w:rsidR="008C0EC2" w14:paraId="4F117794"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301E130" w14:textId="77777777" w:rsidR="008C0EC2" w:rsidRDefault="00000000">
            <w:r>
              <w:rPr>
                <w:sz w:val="17"/>
              </w:rPr>
              <w:t>Núcleo de HText vs IscS</w:t>
            </w:r>
          </w:p>
        </w:tc>
        <w:tc>
          <w:tcPr>
            <w:tcW w:w="3264" w:type="dxa"/>
          </w:tcPr>
          <w:p w14:paraId="0A28D4A5"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0,911</w:t>
            </w:r>
          </w:p>
        </w:tc>
        <w:tc>
          <w:tcPr>
            <w:tcW w:w="3264" w:type="dxa"/>
          </w:tcPr>
          <w:p w14:paraId="5B72682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w:t>
            </w:r>
          </w:p>
        </w:tc>
      </w:tr>
      <w:tr w:rsidR="008C0EC2" w14:paraId="41CB20BD"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C254E71" w14:textId="77777777" w:rsidR="008C0EC2" w:rsidRDefault="00000000">
            <w:r>
              <w:rPr>
                <w:sz w:val="17"/>
              </w:rPr>
              <w:t>Núcleo de HText vs SufS</w:t>
            </w:r>
          </w:p>
        </w:tc>
        <w:tc>
          <w:tcPr>
            <w:tcW w:w="3264" w:type="dxa"/>
          </w:tcPr>
          <w:p w14:paraId="6E3F318B"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0,871</w:t>
            </w:r>
          </w:p>
        </w:tc>
        <w:tc>
          <w:tcPr>
            <w:tcW w:w="3264" w:type="dxa"/>
          </w:tcPr>
          <w:p w14:paraId="095CA24D"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w:t>
            </w:r>
          </w:p>
        </w:tc>
      </w:tr>
    </w:tbl>
    <w:p w14:paraId="28B3D86A" w14:textId="77777777" w:rsidR="008C0EC2" w:rsidRDefault="008C0EC2"/>
    <w:p w14:paraId="1682279D" w14:textId="77777777" w:rsidR="008C0EC2" w:rsidRPr="00391BFA" w:rsidRDefault="00000000">
      <w:pPr>
        <w:rPr>
          <w:lang w:val="es-ES"/>
        </w:rPr>
      </w:pPr>
      <w:r w:rsidRPr="00391BFA">
        <w:rPr>
          <w:b/>
          <w:lang w:val="es-ES"/>
        </w:rPr>
        <w:t>Distancia del SG de la cisteína catalítica al selenio del ligando transferido:</w:t>
      </w:r>
    </w:p>
    <w:tbl>
      <w:tblPr>
        <w:tblStyle w:val="LightGrid-Accent1"/>
        <w:tblW w:w="0" w:type="auto"/>
        <w:jc w:val="center"/>
        <w:tblLook w:val="04A0" w:firstRow="1" w:lastRow="0" w:firstColumn="1" w:lastColumn="0" w:noHBand="0" w:noVBand="1"/>
      </w:tblPr>
      <w:tblGrid>
        <w:gridCol w:w="1958"/>
        <w:gridCol w:w="1958"/>
        <w:gridCol w:w="1958"/>
        <w:gridCol w:w="1958"/>
        <w:gridCol w:w="1958"/>
      </w:tblGrid>
      <w:tr w:rsidR="008C0EC2" w14:paraId="0B87DAAF"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1A3661FE" w14:textId="77777777" w:rsidR="008C0EC2" w:rsidRDefault="00000000">
            <w:r>
              <w:rPr>
                <w:sz w:val="17"/>
              </w:rPr>
              <w:lastRenderedPageBreak/>
              <w:t xml:space="preserve">Desde </w:t>
            </w:r>
            <w:r>
              <w:rPr>
                <w:rFonts w:ascii="Consolas" w:hAnsi="Consolas"/>
                <w:sz w:val="17"/>
              </w:rPr>
              <w:t>3A9Z</w:t>
            </w:r>
          </w:p>
        </w:tc>
        <w:tc>
          <w:tcPr>
            <w:tcW w:w="1958" w:type="dxa"/>
          </w:tcPr>
          <w:p w14:paraId="335A0A57"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Å</w:t>
            </w:r>
          </w:p>
        </w:tc>
        <w:tc>
          <w:tcPr>
            <w:tcW w:w="1958" w:type="dxa"/>
          </w:tcPr>
          <w:p w14:paraId="204B86DF" w14:textId="77777777" w:rsidR="008C0EC2" w:rsidRDefault="008C0EC2">
            <w:pPr>
              <w:cnfStyle w:val="100000000000" w:firstRow="1" w:lastRow="0" w:firstColumn="0" w:lastColumn="0" w:oddVBand="0" w:evenVBand="0" w:oddHBand="0" w:evenHBand="0" w:firstRowFirstColumn="0" w:firstRowLastColumn="0" w:lastRowFirstColumn="0" w:lastRowLastColumn="0"/>
            </w:pPr>
          </w:p>
        </w:tc>
        <w:tc>
          <w:tcPr>
            <w:tcW w:w="1958" w:type="dxa"/>
          </w:tcPr>
          <w:p w14:paraId="0C81D5A2"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 xml:space="preserve">Desde </w:t>
            </w:r>
            <w:r>
              <w:rPr>
                <w:rFonts w:ascii="Consolas" w:hAnsi="Consolas"/>
                <w:sz w:val="17"/>
              </w:rPr>
              <w:t>1KMK</w:t>
            </w:r>
          </w:p>
        </w:tc>
        <w:tc>
          <w:tcPr>
            <w:tcW w:w="1958" w:type="dxa"/>
          </w:tcPr>
          <w:p w14:paraId="6BED594D"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Å</w:t>
            </w:r>
          </w:p>
        </w:tc>
      </w:tr>
      <w:tr w:rsidR="008C0EC2" w14:paraId="75F4FD6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75DD1ADA" w14:textId="77777777" w:rsidR="008C0EC2" w:rsidRDefault="00000000">
            <w:r>
              <w:rPr>
                <w:sz w:val="17"/>
              </w:rPr>
              <w:t>HText</w:t>
            </w:r>
          </w:p>
        </w:tc>
        <w:tc>
          <w:tcPr>
            <w:tcW w:w="1958" w:type="dxa"/>
          </w:tcPr>
          <w:p w14:paraId="3E5C0EA3"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4,6</w:t>
            </w:r>
          </w:p>
        </w:tc>
        <w:tc>
          <w:tcPr>
            <w:tcW w:w="1958" w:type="dxa"/>
          </w:tcPr>
          <w:p w14:paraId="6CAA5D5A" w14:textId="77777777" w:rsidR="008C0EC2" w:rsidRDefault="008C0EC2">
            <w:pPr>
              <w:cnfStyle w:val="000000100000" w:firstRow="0" w:lastRow="0" w:firstColumn="0" w:lastColumn="0" w:oddVBand="0" w:evenVBand="0" w:oddHBand="1" w:evenHBand="0" w:firstRowFirstColumn="0" w:firstRowLastColumn="0" w:lastRowFirstColumn="0" w:lastRowLastColumn="0"/>
            </w:pPr>
          </w:p>
        </w:tc>
        <w:tc>
          <w:tcPr>
            <w:tcW w:w="1958" w:type="dxa"/>
          </w:tcPr>
          <w:p w14:paraId="5ECC333D"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NFS2 (control)</w:t>
            </w:r>
          </w:p>
        </w:tc>
        <w:tc>
          <w:tcPr>
            <w:tcW w:w="1958" w:type="dxa"/>
          </w:tcPr>
          <w:p w14:paraId="5AD69A94"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3,0</w:t>
            </w:r>
          </w:p>
        </w:tc>
      </w:tr>
      <w:tr w:rsidR="008C0EC2" w14:paraId="78D777A0"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52AB1A62" w14:textId="77777777" w:rsidR="008C0EC2" w:rsidRDefault="00000000">
            <w:r>
              <w:rPr>
                <w:sz w:val="17"/>
              </w:rPr>
              <w:t>SCLY-like Chlamy</w:t>
            </w:r>
          </w:p>
        </w:tc>
        <w:tc>
          <w:tcPr>
            <w:tcW w:w="1958" w:type="dxa"/>
          </w:tcPr>
          <w:p w14:paraId="09200F1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12,2</w:t>
            </w:r>
          </w:p>
        </w:tc>
        <w:tc>
          <w:tcPr>
            <w:tcW w:w="1958" w:type="dxa"/>
          </w:tcPr>
          <w:p w14:paraId="2DEF0DD7" w14:textId="77777777" w:rsidR="008C0EC2" w:rsidRDefault="008C0EC2">
            <w:pPr>
              <w:cnfStyle w:val="000000010000" w:firstRow="0" w:lastRow="0" w:firstColumn="0" w:lastColumn="0" w:oddVBand="0" w:evenVBand="0" w:oddHBand="0" w:evenHBand="1" w:firstRowFirstColumn="0" w:firstRowLastColumn="0" w:lastRowFirstColumn="0" w:lastRowLastColumn="0"/>
            </w:pPr>
          </w:p>
        </w:tc>
        <w:tc>
          <w:tcPr>
            <w:tcW w:w="1958" w:type="dxa"/>
          </w:tcPr>
          <w:p w14:paraId="46F2C4F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SCLY humana</w:t>
            </w:r>
          </w:p>
        </w:tc>
        <w:tc>
          <w:tcPr>
            <w:tcW w:w="1958" w:type="dxa"/>
          </w:tcPr>
          <w:p w14:paraId="6A7A81EE"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3,7</w:t>
            </w:r>
          </w:p>
        </w:tc>
      </w:tr>
      <w:tr w:rsidR="008C0EC2" w14:paraId="2A5F16FF"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7D15321A" w14:textId="77777777" w:rsidR="008C0EC2" w:rsidRDefault="00000000">
            <w:r>
              <w:rPr>
                <w:sz w:val="17"/>
              </w:rPr>
              <w:t>SCLY humana</w:t>
            </w:r>
          </w:p>
        </w:tc>
        <w:tc>
          <w:tcPr>
            <w:tcW w:w="1958" w:type="dxa"/>
          </w:tcPr>
          <w:p w14:paraId="31300EC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6,4</w:t>
            </w:r>
          </w:p>
        </w:tc>
        <w:tc>
          <w:tcPr>
            <w:tcW w:w="1958" w:type="dxa"/>
          </w:tcPr>
          <w:p w14:paraId="1BB2A69B" w14:textId="77777777" w:rsidR="008C0EC2" w:rsidRDefault="008C0EC2">
            <w:pPr>
              <w:cnfStyle w:val="000000100000" w:firstRow="0" w:lastRow="0" w:firstColumn="0" w:lastColumn="0" w:oddVBand="0" w:evenVBand="0" w:oddHBand="1" w:evenHBand="0" w:firstRowFirstColumn="0" w:firstRowLastColumn="0" w:lastRowFirstColumn="0" w:lastRowLastColumn="0"/>
            </w:pPr>
          </w:p>
        </w:tc>
        <w:tc>
          <w:tcPr>
            <w:tcW w:w="1958" w:type="dxa"/>
          </w:tcPr>
          <w:p w14:paraId="2FAE4D65"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HText</w:t>
            </w:r>
          </w:p>
        </w:tc>
        <w:tc>
          <w:tcPr>
            <w:tcW w:w="1958" w:type="dxa"/>
          </w:tcPr>
          <w:p w14:paraId="4CDBE14D"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4,0</w:t>
            </w:r>
          </w:p>
        </w:tc>
      </w:tr>
      <w:tr w:rsidR="008C0EC2" w14:paraId="587E5237"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1D020E2E" w14:textId="77777777" w:rsidR="008C0EC2" w:rsidRDefault="00000000">
            <w:r>
              <w:rPr>
                <w:sz w:val="17"/>
              </w:rPr>
              <w:t>NFS1</w:t>
            </w:r>
          </w:p>
        </w:tc>
        <w:tc>
          <w:tcPr>
            <w:tcW w:w="1958" w:type="dxa"/>
          </w:tcPr>
          <w:p w14:paraId="72E6B082"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5,0</w:t>
            </w:r>
          </w:p>
        </w:tc>
        <w:tc>
          <w:tcPr>
            <w:tcW w:w="1958" w:type="dxa"/>
          </w:tcPr>
          <w:p w14:paraId="170E551A" w14:textId="77777777" w:rsidR="008C0EC2" w:rsidRDefault="008C0EC2">
            <w:pPr>
              <w:cnfStyle w:val="000000010000" w:firstRow="0" w:lastRow="0" w:firstColumn="0" w:lastColumn="0" w:oddVBand="0" w:evenVBand="0" w:oddHBand="0" w:evenHBand="1" w:firstRowFirstColumn="0" w:firstRowLastColumn="0" w:lastRowFirstColumn="0" w:lastRowLastColumn="0"/>
            </w:pPr>
          </w:p>
        </w:tc>
        <w:tc>
          <w:tcPr>
            <w:tcW w:w="1958" w:type="dxa"/>
          </w:tcPr>
          <w:p w14:paraId="1BE39340"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NFS1</w:t>
            </w:r>
          </w:p>
        </w:tc>
        <w:tc>
          <w:tcPr>
            <w:tcW w:w="1958" w:type="dxa"/>
          </w:tcPr>
          <w:p w14:paraId="0494B8B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6,1</w:t>
            </w:r>
          </w:p>
        </w:tc>
      </w:tr>
      <w:tr w:rsidR="008C0EC2" w14:paraId="5F08ACA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tcPr>
          <w:p w14:paraId="0124E1C0" w14:textId="77777777" w:rsidR="008C0EC2" w:rsidRDefault="00000000">
            <w:r>
              <w:rPr>
                <w:sz w:val="17"/>
              </w:rPr>
              <w:t>NFS2</w:t>
            </w:r>
          </w:p>
        </w:tc>
        <w:tc>
          <w:tcPr>
            <w:tcW w:w="1958" w:type="dxa"/>
          </w:tcPr>
          <w:p w14:paraId="7EF52716"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5,5</w:t>
            </w:r>
          </w:p>
        </w:tc>
        <w:tc>
          <w:tcPr>
            <w:tcW w:w="1958" w:type="dxa"/>
          </w:tcPr>
          <w:p w14:paraId="1DE97ADF" w14:textId="77777777" w:rsidR="008C0EC2" w:rsidRDefault="008C0EC2">
            <w:pPr>
              <w:cnfStyle w:val="000000100000" w:firstRow="0" w:lastRow="0" w:firstColumn="0" w:lastColumn="0" w:oddVBand="0" w:evenVBand="0" w:oddHBand="1" w:evenHBand="0" w:firstRowFirstColumn="0" w:firstRowLastColumn="0" w:lastRowFirstColumn="0" w:lastRowLastColumn="0"/>
            </w:pPr>
          </w:p>
        </w:tc>
        <w:tc>
          <w:tcPr>
            <w:tcW w:w="1958" w:type="dxa"/>
          </w:tcPr>
          <w:p w14:paraId="211B700A"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SCLY-like Chlamy</w:t>
            </w:r>
          </w:p>
        </w:tc>
        <w:tc>
          <w:tcPr>
            <w:tcW w:w="1958" w:type="dxa"/>
          </w:tcPr>
          <w:p w14:paraId="34A5FDD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9,0</w:t>
            </w:r>
          </w:p>
        </w:tc>
      </w:tr>
    </w:tbl>
    <w:p w14:paraId="6AD534D3" w14:textId="77777777" w:rsidR="008C0EC2" w:rsidRDefault="008C0EC2"/>
    <w:p w14:paraId="1058638A" w14:textId="77777777" w:rsidR="008C0EC2" w:rsidRPr="00391BFA" w:rsidRDefault="00000000">
      <w:pPr>
        <w:rPr>
          <w:lang w:val="es-ES"/>
        </w:rPr>
      </w:pPr>
      <w:r w:rsidRPr="00391BFA">
        <w:rPr>
          <w:b/>
          <w:lang w:val="es-ES"/>
        </w:rPr>
        <w:t>Qué se concluye.</w:t>
      </w:r>
      <w:r w:rsidRPr="00391BFA">
        <w:rPr>
          <w:lang w:val="es-ES"/>
        </w:rPr>
        <w:t xml:space="preserve"> El sitio de HText es </w:t>
      </w:r>
      <w:r w:rsidRPr="00391BFA">
        <w:rPr>
          <w:b/>
          <w:lang w:val="es-ES"/>
        </w:rPr>
        <w:t>geométricamente competente</w:t>
      </w:r>
      <w:r w:rsidRPr="00391BFA">
        <w:rPr>
          <w:lang w:val="es-ES"/>
        </w:rPr>
        <w:t xml:space="preserve"> para la química de transferencia de selenio: la cisteína catalítica queda a distancia de ataque del selenio.</w:t>
      </w:r>
    </w:p>
    <w:p w14:paraId="29EF535E" w14:textId="77777777" w:rsidR="008C0EC2" w:rsidRPr="00391BFA" w:rsidRDefault="00000000">
      <w:pPr>
        <w:rPr>
          <w:lang w:val="es-ES"/>
        </w:rPr>
      </w:pPr>
      <w:r w:rsidRPr="00391BFA">
        <w:rPr>
          <w:b/>
          <w:lang w:val="es-ES"/>
        </w:rPr>
        <w:t>Qué NO se concluye, y es importante.</w:t>
      </w:r>
      <w:r w:rsidRPr="00391BFA">
        <w:rPr>
          <w:lang w:val="es-ES"/>
        </w:rPr>
        <w:t xml:space="preserve"> El rango 4,0 Å versus 9,0 Å entre HText y el SCLY-like de </w:t>
      </w:r>
      <w:r w:rsidRPr="00391BFA">
        <w:rPr>
          <w:i/>
          <w:lang w:val="es-ES"/>
        </w:rPr>
        <w:t>Chlamydomonas</w:t>
      </w:r>
      <w:r w:rsidRPr="00391BFA">
        <w:rPr>
          <w:lang w:val="es-ES"/>
        </w:rPr>
        <w:t xml:space="preserve">, que comparten 54 % de identidad, </w:t>
      </w:r>
      <w:r w:rsidRPr="00391BFA">
        <w:rPr>
          <w:b/>
          <w:lang w:val="es-ES"/>
        </w:rPr>
        <w:t>demuestra que el bucle apo de AlphaFold no sostiene una distancia única</w:t>
      </w:r>
      <w:r w:rsidRPr="00391BFA">
        <w:rPr>
          <w:lang w:val="es-ES"/>
        </w:rPr>
        <w:t xml:space="preserve">. Los bucles catalíticos de esta familia son flexibles y AlphaFold los modela en una conformación arbitraria entre muchas posibles. Por lo tanto estos números sirven para decir "el sitio es compatible", </w:t>
      </w:r>
      <w:r w:rsidRPr="00391BFA">
        <w:rPr>
          <w:b/>
          <w:lang w:val="es-ES"/>
        </w:rPr>
        <w:t>no</w:t>
      </w:r>
      <w:r w:rsidRPr="00391BFA">
        <w:rPr>
          <w:lang w:val="es-ES"/>
        </w:rPr>
        <w:t xml:space="preserve"> para rankear enzimas por afinidad ni para comparar entre ortólogos.</w:t>
      </w:r>
    </w:p>
    <w:p w14:paraId="5D5DF365" w14:textId="77777777" w:rsidR="008C0EC2" w:rsidRPr="00391BFA" w:rsidRDefault="00000000">
      <w:pPr>
        <w:rPr>
          <w:lang w:val="es-ES"/>
        </w:rPr>
      </w:pPr>
      <w:r w:rsidRPr="00391BFA">
        <w:rPr>
          <w:b/>
          <w:lang w:val="es-ES"/>
        </w:rPr>
        <w:t>El subsitio de especificidad.</w:t>
      </w:r>
      <w:r w:rsidRPr="00391BFA">
        <w:rPr>
          <w:lang w:val="es-ES"/>
        </w:rPr>
        <w:t xml:space="preserve"> Se buscaron los residuos que contactan el ligando en el cristal y se los mapeó en cada modelo. De todos ellos, </w:t>
      </w:r>
      <w:r w:rsidRPr="00391BFA">
        <w:rPr>
          <w:b/>
          <w:lang w:val="es-ES"/>
        </w:rPr>
        <w:t>sólo uno discrimina</w:t>
      </w:r>
      <w:r w:rsidRPr="00391BFA">
        <w:rPr>
          <w:lang w:val="es-ES"/>
        </w:rPr>
        <w:t xml:space="preserve">: el </w:t>
      </w:r>
      <w:r w:rsidRPr="00391BFA">
        <w:rPr>
          <w:b/>
          <w:lang w:val="es-ES"/>
        </w:rPr>
        <w:t>Asn25 de la SCLY de rata</w:t>
      </w:r>
      <w:r w:rsidRPr="00391BFA">
        <w:rPr>
          <w:lang w:val="es-ES"/>
        </w:rPr>
        <w:t>. En el clado SCLY hay Asn; en NFS1, Gln; en NFS2, Ala.</w:t>
      </w:r>
    </w:p>
    <w:p w14:paraId="784F5702" w14:textId="77777777" w:rsidR="008C0EC2" w:rsidRDefault="00000000">
      <w:pPr>
        <w:jc w:val="center"/>
      </w:pPr>
      <w:r>
        <w:rPr>
          <w:noProof/>
        </w:rPr>
        <w:drawing>
          <wp:inline distT="0" distB="0" distL="0" distR="0" wp14:anchorId="74CBD598" wp14:editId="4ACE24C0">
            <wp:extent cx="5120640" cy="20110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bsitio_transferencia.png"/>
                    <pic:cNvPicPr/>
                  </pic:nvPicPr>
                  <pic:blipFill>
                    <a:blip r:embed="rId20"/>
                    <a:stretch>
                      <a:fillRect/>
                    </a:stretch>
                  </pic:blipFill>
                  <pic:spPr>
                    <a:xfrm>
                      <a:off x="0" y="0"/>
                      <a:ext cx="5120640" cy="2011044"/>
                    </a:xfrm>
                    <a:prstGeom prst="rect">
                      <a:avLst/>
                    </a:prstGeom>
                  </pic:spPr>
                </pic:pic>
              </a:graphicData>
            </a:graphic>
          </wp:inline>
        </w:drawing>
      </w:r>
    </w:p>
    <w:p w14:paraId="16C9E875" w14:textId="77777777" w:rsidR="008C0EC2" w:rsidRDefault="00000000">
      <w:pPr>
        <w:jc w:val="center"/>
      </w:pPr>
      <w:r>
        <w:rPr>
          <w:i/>
          <w:color w:val="555555"/>
          <w:sz w:val="17"/>
        </w:rPr>
        <w:t>Subsitio de especificidad reconstruido por transferencia de ligando</w:t>
      </w:r>
    </w:p>
    <w:p w14:paraId="5AE78660" w14:textId="77777777" w:rsidR="008C0EC2" w:rsidRDefault="00000000">
      <w:pPr>
        <w:jc w:val="center"/>
      </w:pPr>
      <w:r>
        <w:rPr>
          <w:noProof/>
        </w:rPr>
        <w:lastRenderedPageBreak/>
        <w:drawing>
          <wp:inline distT="0" distB="0" distL="0" distR="0" wp14:anchorId="6164AF64" wp14:editId="6EA980C4">
            <wp:extent cx="5120640" cy="35767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activo_residuos.png"/>
                    <pic:cNvPicPr/>
                  </pic:nvPicPr>
                  <pic:blipFill>
                    <a:blip r:embed="rId21"/>
                    <a:stretch>
                      <a:fillRect/>
                    </a:stretch>
                  </pic:blipFill>
                  <pic:spPr>
                    <a:xfrm>
                      <a:off x="0" y="0"/>
                      <a:ext cx="5120640" cy="3576777"/>
                    </a:xfrm>
                    <a:prstGeom prst="rect">
                      <a:avLst/>
                    </a:prstGeom>
                  </pic:spPr>
                </pic:pic>
              </a:graphicData>
            </a:graphic>
          </wp:inline>
        </w:drawing>
      </w:r>
    </w:p>
    <w:p w14:paraId="7F1B01B7" w14:textId="77777777" w:rsidR="008C0EC2" w:rsidRPr="00391BFA" w:rsidRDefault="00000000">
      <w:pPr>
        <w:jc w:val="center"/>
        <w:rPr>
          <w:lang w:val="es-ES"/>
        </w:rPr>
      </w:pPr>
      <w:r w:rsidRPr="00391BFA">
        <w:rPr>
          <w:i/>
          <w:color w:val="555555"/>
          <w:sz w:val="17"/>
          <w:lang w:val="es-ES"/>
        </w:rPr>
        <w:t>Entorno del PLP en el sitio activo</w:t>
      </w:r>
    </w:p>
    <w:p w14:paraId="4A1DB873" w14:textId="77777777" w:rsidR="008C0EC2" w:rsidRDefault="00000000">
      <w:pPr>
        <w:jc w:val="center"/>
      </w:pPr>
      <w:r>
        <w:rPr>
          <w:noProof/>
        </w:rPr>
        <w:drawing>
          <wp:inline distT="0" distB="0" distL="0" distR="0" wp14:anchorId="77BDDF8D" wp14:editId="4A362A45">
            <wp:extent cx="5120640" cy="39108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773de452_mapeoconservevol3D.png"/>
                    <pic:cNvPicPr/>
                  </pic:nvPicPr>
                  <pic:blipFill>
                    <a:blip r:embed="rId22"/>
                    <a:stretch>
                      <a:fillRect/>
                    </a:stretch>
                  </pic:blipFill>
                  <pic:spPr>
                    <a:xfrm>
                      <a:off x="0" y="0"/>
                      <a:ext cx="5120640" cy="3910889"/>
                    </a:xfrm>
                    <a:prstGeom prst="rect">
                      <a:avLst/>
                    </a:prstGeom>
                  </pic:spPr>
                </pic:pic>
              </a:graphicData>
            </a:graphic>
          </wp:inline>
        </w:drawing>
      </w:r>
    </w:p>
    <w:p w14:paraId="7139EE10" w14:textId="77777777" w:rsidR="008C0EC2" w:rsidRPr="00391BFA" w:rsidRDefault="00000000">
      <w:pPr>
        <w:jc w:val="center"/>
        <w:rPr>
          <w:lang w:val="es-ES"/>
        </w:rPr>
      </w:pPr>
      <w:r w:rsidRPr="00391BFA">
        <w:rPr>
          <w:i/>
          <w:color w:val="555555"/>
          <w:sz w:val="17"/>
          <w:lang w:val="es-ES"/>
        </w:rPr>
        <w:t>Mapeo de conservación sobre la estructura 3D</w:t>
      </w:r>
    </w:p>
    <w:p w14:paraId="566ED74B" w14:textId="77777777" w:rsidR="008C0EC2" w:rsidRPr="00391BFA" w:rsidRDefault="008C0EC2">
      <w:pPr>
        <w:rPr>
          <w:lang w:val="es-ES"/>
        </w:rPr>
      </w:pPr>
    </w:p>
    <w:p w14:paraId="75463F45" w14:textId="77777777" w:rsidR="008C0EC2" w:rsidRPr="00391BFA" w:rsidRDefault="00000000">
      <w:pPr>
        <w:pStyle w:val="Heading2"/>
        <w:rPr>
          <w:lang w:val="es-ES"/>
        </w:rPr>
      </w:pPr>
      <w:r w:rsidRPr="00391BFA">
        <w:rPr>
          <w:lang w:val="es-ES"/>
        </w:rPr>
        <w:lastRenderedPageBreak/>
        <w:t>2.12 — Conservación: qué reemplazó al análisis de ConSurf ⚠</w:t>
      </w:r>
    </w:p>
    <w:p w14:paraId="22F630E8" w14:textId="77777777" w:rsidR="008C0EC2" w:rsidRPr="00391BFA" w:rsidRDefault="00000000">
      <w:pPr>
        <w:rPr>
          <w:lang w:val="es-ES"/>
        </w:rPr>
      </w:pPr>
      <w:r w:rsidRPr="00391BFA">
        <w:rPr>
          <w:b/>
          <w:lang w:val="es-ES"/>
        </w:rPr>
        <w:t>Qué se hizo primero (y se descartó).</w:t>
      </w:r>
      <w:r w:rsidRPr="00391BFA">
        <w:rPr>
          <w:lang w:val="es-ES"/>
        </w:rPr>
        <w:t xml:space="preserve"> Una tabla de 353 posiciones presentada como salida de ConSurf, con grados de conservación y clasificación enterrado/expuesto, y un test de Mann-Whitney entre "residuos del bolsillo" y "residuos de superficie" con p = 2,29 × 10⁻¹⁰.</w:t>
      </w:r>
    </w:p>
    <w:p w14:paraId="59BEEB0D" w14:textId="77777777" w:rsidR="008C0EC2" w:rsidRPr="00391BFA" w:rsidRDefault="00000000">
      <w:pPr>
        <w:rPr>
          <w:lang w:val="es-ES"/>
        </w:rPr>
      </w:pPr>
      <w:r w:rsidRPr="00391BFA">
        <w:rPr>
          <w:b/>
          <w:lang w:val="es-ES"/>
        </w:rPr>
        <w:t>Por qué se descartó — cuatro razones.</w:t>
      </w:r>
    </w:p>
    <w:p w14:paraId="0C4C4976" w14:textId="77777777" w:rsidR="008C0EC2" w:rsidRPr="00391BFA" w:rsidRDefault="00000000">
      <w:pPr>
        <w:pStyle w:val="ListNumber"/>
        <w:rPr>
          <w:lang w:val="es-ES"/>
        </w:rPr>
      </w:pPr>
      <w:r w:rsidRPr="00391BFA">
        <w:rPr>
          <w:b/>
          <w:lang w:val="es-ES"/>
        </w:rPr>
        <w:t>La distribución de grados es imposible.</w:t>
      </w:r>
      <w:r w:rsidRPr="00391BFA">
        <w:rPr>
          <w:lang w:val="es-ES"/>
        </w:rPr>
        <w:t xml:space="preserve"> Los conteos son </w:t>
      </w:r>
      <w:r w:rsidRPr="00391BFA">
        <w:rPr>
          <w:rFonts w:ascii="Consolas" w:hAnsi="Consolas"/>
          <w:sz w:val="18"/>
          <w:lang w:val="es-ES"/>
        </w:rPr>
        <w:t>{grado 1: 203, grado 2: 118, grado 3: 15, grado 9: 17}</w:t>
      </w:r>
      <w:r w:rsidRPr="00391BFA">
        <w:rPr>
          <w:lang w:val="es-ES"/>
        </w:rPr>
        <w:t xml:space="preserve"> — los grados 4 a 8 están </w:t>
      </w:r>
      <w:r w:rsidRPr="00391BFA">
        <w:rPr>
          <w:b/>
          <w:lang w:val="es-ES"/>
        </w:rPr>
        <w:t>vacíos</w:t>
      </w:r>
      <w:r w:rsidRPr="00391BFA">
        <w:rPr>
          <w:lang w:val="es-ES"/>
        </w:rPr>
        <w:t>. ConSurf asigna los grados por partición en nueve intervalos de la distribución continua de puntajes; no puede dejar cinco bins consecutivos en cero.</w:t>
      </w:r>
    </w:p>
    <w:p w14:paraId="65AAF162" w14:textId="77777777" w:rsidR="008C0EC2" w:rsidRPr="00391BFA" w:rsidRDefault="00000000">
      <w:pPr>
        <w:pStyle w:val="ListNumber"/>
        <w:rPr>
          <w:lang w:val="es-ES"/>
        </w:rPr>
      </w:pPr>
      <w:r w:rsidRPr="00391BFA">
        <w:rPr>
          <w:b/>
          <w:lang w:val="es-ES"/>
        </w:rPr>
        <w:t>306 expuestos contra 47 enterrados</w:t>
      </w:r>
      <w:r w:rsidRPr="00391BFA">
        <w:rPr>
          <w:lang w:val="es-ES"/>
        </w:rPr>
        <w:t xml:space="preserve"> — 87 % de superficie. Una proteína globular de este tamaño tiene del orden de 30–40 % de residuos enterrados.</w:t>
      </w:r>
    </w:p>
    <w:p w14:paraId="69FB1B4F" w14:textId="77777777" w:rsidR="008C0EC2" w:rsidRPr="00391BFA" w:rsidRDefault="00000000">
      <w:pPr>
        <w:pStyle w:val="ListNumber"/>
        <w:rPr>
          <w:lang w:val="es-ES"/>
        </w:rPr>
      </w:pPr>
      <w:r w:rsidRPr="00391BFA">
        <w:rPr>
          <w:b/>
          <w:lang w:val="es-ES"/>
        </w:rPr>
        <w:t>Las columnas no existen en la salida real de ConSurf.</w:t>
      </w:r>
    </w:p>
    <w:p w14:paraId="61539651" w14:textId="77777777" w:rsidR="008C0EC2" w:rsidRPr="00391BFA" w:rsidRDefault="00000000">
      <w:pPr>
        <w:pStyle w:val="ListNumber"/>
        <w:rPr>
          <w:lang w:val="es-ES"/>
        </w:rPr>
      </w:pPr>
      <w:r w:rsidRPr="00391BFA">
        <w:rPr>
          <w:b/>
          <w:lang w:val="es-ES"/>
        </w:rPr>
        <w:t>El test es circular.</w:t>
      </w:r>
      <w:r w:rsidRPr="00391BFA">
        <w:rPr>
          <w:lang w:val="es-ES"/>
        </w:rPr>
        <w:t xml:space="preserve"> Compara conservación entre residuos del bolsillo y de superficie, pero el bolsillo se definió por conservación. Además el p-valor de la figura (2,29 × 10⁻¹⁰) no coincide con el del texto (4,18 × 10⁻¹¹).</w:t>
      </w:r>
    </w:p>
    <w:p w14:paraId="5EBA7B7D" w14:textId="77777777" w:rsidR="008C0EC2" w:rsidRPr="00391BFA" w:rsidRDefault="00000000">
      <w:pPr>
        <w:rPr>
          <w:lang w:val="es-ES"/>
        </w:rPr>
      </w:pPr>
      <w:r w:rsidRPr="00391BFA">
        <w:rPr>
          <w:lang w:val="es-ES"/>
        </w:rPr>
        <w:t xml:space="preserve">Por otra parte, el alineamiento </w:t>
      </w:r>
      <w:r w:rsidRPr="00391BFA">
        <w:rPr>
          <w:rFonts w:ascii="Consolas" w:hAnsi="Consolas"/>
          <w:sz w:val="18"/>
          <w:lang w:val="es-ES"/>
        </w:rPr>
        <w:t>MSA_73_panalgal.fasta</w:t>
      </w:r>
      <w:r w:rsidRPr="00391BFA">
        <w:rPr>
          <w:lang w:val="es-ES"/>
        </w:rPr>
        <w:t xml:space="preserve"> sobre el que supuestamente se apoyaba tiene </w:t>
      </w:r>
      <w:r w:rsidRPr="00391BFA">
        <w:rPr>
          <w:b/>
          <w:lang w:val="es-ES"/>
        </w:rPr>
        <w:t>88,6 % de posiciones de gap</w:t>
      </w:r>
      <w:r w:rsidRPr="00391BFA">
        <w:rPr>
          <w:lang w:val="es-ES"/>
        </w:rPr>
        <w:t xml:space="preserve"> (70 secuencias, 4323 columnas). Ningún análisis de conservación posicional es interpretable sobre eso.</w:t>
      </w:r>
    </w:p>
    <w:p w14:paraId="332050FD" w14:textId="77777777" w:rsidR="008C0EC2" w:rsidRPr="00391BFA" w:rsidRDefault="00000000">
      <w:pPr>
        <w:rPr>
          <w:lang w:val="es-ES"/>
        </w:rPr>
      </w:pPr>
      <w:r w:rsidRPr="00391BFA">
        <w:rPr>
          <w:b/>
          <w:lang w:val="es-ES"/>
        </w:rPr>
        <w:t>Qué se hizo en su lugar: entropía de Shannon por familia y posiciones discriminantes.</w:t>
      </w:r>
    </w:p>
    <w:p w14:paraId="79CFC6EF" w14:textId="77777777" w:rsidR="008C0EC2" w:rsidRPr="00391BFA" w:rsidRDefault="00000000">
      <w:pPr>
        <w:rPr>
          <w:lang w:val="es-ES"/>
        </w:rPr>
      </w:pPr>
      <w:r w:rsidRPr="00391BFA">
        <w:rPr>
          <w:lang w:val="es-ES"/>
        </w:rPr>
        <w:t xml:space="preserve">Se alineó el dominio del modelo de HText junto a </w:t>
      </w:r>
      <w:r w:rsidRPr="00391BFA">
        <w:rPr>
          <w:b/>
          <w:lang w:val="es-ES"/>
        </w:rPr>
        <w:t>66 SCLY-like + 124 NFS1 + 110 NFS2</w:t>
      </w:r>
      <w:r w:rsidRPr="00391BFA">
        <w:rPr>
          <w:lang w:val="es-ES"/>
        </w:rPr>
        <w:t xml:space="preserve">, y se calculó la entropía posición por posición </w:t>
      </w:r>
      <w:r w:rsidRPr="00391BFA">
        <w:rPr>
          <w:b/>
          <w:lang w:val="es-ES"/>
        </w:rPr>
        <w:t>dentro de cada familia por separado</w:t>
      </w:r>
      <w:r w:rsidRPr="00391BFA">
        <w:rPr>
          <w:lang w:val="es-ES"/>
        </w:rPr>
        <w:t xml:space="preserve"> en </w:t>
      </w:r>
      <w:r w:rsidRPr="00391BFA">
        <w:rPr>
          <w:b/>
          <w:lang w:val="es-ES"/>
        </w:rPr>
        <w:t>348 posiciones</w:t>
      </w:r>
      <w:r w:rsidRPr="00391BFA">
        <w:rPr>
          <w:lang w:val="es-ES"/>
        </w:rPr>
        <w:t xml:space="preserve">. Una posición es </w:t>
      </w:r>
      <w:r w:rsidRPr="00391BFA">
        <w:rPr>
          <w:b/>
          <w:lang w:val="es-ES"/>
        </w:rPr>
        <w:t>discriminante de familia</w:t>
      </w:r>
      <w:r w:rsidRPr="00391BFA">
        <w:rPr>
          <w:lang w:val="es-ES"/>
        </w:rPr>
        <w:t xml:space="preserve"> si está conservada en ambas familias (H ≤ 0,5 en las dos) </w:t>
      </w:r>
      <w:r w:rsidRPr="00391BFA">
        <w:rPr>
          <w:b/>
          <w:lang w:val="es-ES"/>
        </w:rPr>
        <w:t>y el residuo consenso es distinto</w:t>
      </w:r>
      <w:r w:rsidRPr="00391BFA">
        <w:rPr>
          <w:lang w:val="es-ES"/>
        </w:rPr>
        <w:t>.</w:t>
      </w:r>
    </w:p>
    <w:p w14:paraId="330FB48A" w14:textId="77777777" w:rsidR="008C0EC2" w:rsidRPr="00391BFA" w:rsidRDefault="00000000">
      <w:pPr>
        <w:rPr>
          <w:lang w:val="es-ES"/>
        </w:rPr>
      </w:pPr>
      <w:r w:rsidRPr="00391BFA">
        <w:rPr>
          <w:b/>
          <w:lang w:val="es-ES"/>
        </w:rPr>
        <w:t>Por qué esto es mejor que ConSurf para esta pregunta.</w:t>
      </w:r>
      <w:r w:rsidRPr="00391BFA">
        <w:rPr>
          <w:lang w:val="es-ES"/>
        </w:rPr>
        <w:t xml:space="preserve"> ConSurf responde "¿qué está conservado en esta proteína?". La pregunta del proyecto es otra: "¿qué distingue a SCLY-like de NFS1/NFS2?". Para eso hace falta comparar conservación </w:t>
      </w:r>
      <w:r w:rsidRPr="00391BFA">
        <w:rPr>
          <w:b/>
          <w:lang w:val="es-ES"/>
        </w:rPr>
        <w:t>entre</w:t>
      </w:r>
      <w:r w:rsidRPr="00391BFA">
        <w:rPr>
          <w:lang w:val="es-ES"/>
        </w:rPr>
        <w:t xml:space="preserve"> familias, que es exactamente lo que hace este cálculo y lo que ConSurf no hace.</w:t>
      </w:r>
    </w:p>
    <w:p w14:paraId="7C8DD364" w14:textId="77777777" w:rsidR="008C0EC2" w:rsidRPr="00391BFA" w:rsidRDefault="00000000">
      <w:pPr>
        <w:rPr>
          <w:lang w:val="es-ES"/>
        </w:rPr>
      </w:pPr>
      <w:r w:rsidRPr="00391BFA">
        <w:rPr>
          <w:b/>
          <w:lang w:val="es-ES"/>
        </w:rPr>
        <w:t>Qué dio: seis posiciones discriminantes, cuatro de ellas a menos de 8 Å del PLP o del sustrato.</w:t>
      </w:r>
    </w:p>
    <w:tbl>
      <w:tblPr>
        <w:tblStyle w:val="LightGrid-Accent1"/>
        <w:tblW w:w="0" w:type="auto"/>
        <w:jc w:val="center"/>
        <w:tblLook w:val="04A0" w:firstRow="1" w:lastRow="0" w:firstColumn="1" w:lastColumn="0" w:noHBand="0" w:noVBand="1"/>
      </w:tblPr>
      <w:tblGrid>
        <w:gridCol w:w="2448"/>
        <w:gridCol w:w="2448"/>
        <w:gridCol w:w="2448"/>
        <w:gridCol w:w="2448"/>
      </w:tblGrid>
      <w:tr w:rsidR="008C0EC2" w14:paraId="45DB2D9E"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7F3AB8C" w14:textId="77777777" w:rsidR="008C0EC2" w:rsidRDefault="00000000">
            <w:r>
              <w:rPr>
                <w:sz w:val="17"/>
              </w:rPr>
              <w:t>Posición (modelo / tabla)</w:t>
            </w:r>
          </w:p>
        </w:tc>
        <w:tc>
          <w:tcPr>
            <w:tcW w:w="2448" w:type="dxa"/>
          </w:tcPr>
          <w:p w14:paraId="0A08FC65"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SCLY-like</w:t>
            </w:r>
          </w:p>
        </w:tc>
        <w:tc>
          <w:tcPr>
            <w:tcW w:w="2448" w:type="dxa"/>
          </w:tcPr>
          <w:p w14:paraId="15C75CB3"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NFS1/NFS2</w:t>
            </w:r>
          </w:p>
        </w:tc>
        <w:tc>
          <w:tcPr>
            <w:tcW w:w="2448" w:type="dxa"/>
          </w:tcPr>
          <w:p w14:paraId="1C3C06BC"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Distancia al cofactor</w:t>
            </w:r>
          </w:p>
        </w:tc>
      </w:tr>
      <w:tr w:rsidR="008C0EC2" w14:paraId="3B9E308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471DFA4" w14:textId="77777777" w:rsidR="008C0EC2" w:rsidRDefault="00000000">
            <w:r>
              <w:rPr>
                <w:sz w:val="17"/>
              </w:rPr>
              <w:t>G197 / 72</w:t>
            </w:r>
          </w:p>
        </w:tc>
        <w:tc>
          <w:tcPr>
            <w:tcW w:w="2448" w:type="dxa"/>
          </w:tcPr>
          <w:p w14:paraId="1F9D56DE"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Gly 98 %</w:t>
            </w:r>
          </w:p>
        </w:tc>
        <w:tc>
          <w:tcPr>
            <w:tcW w:w="2448" w:type="dxa"/>
          </w:tcPr>
          <w:p w14:paraId="721A56A4"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Ala 100 %</w:t>
            </w:r>
          </w:p>
        </w:tc>
        <w:tc>
          <w:tcPr>
            <w:tcW w:w="2448" w:type="dxa"/>
          </w:tcPr>
          <w:p w14:paraId="777AC32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3,67 Å</w:t>
            </w:r>
          </w:p>
        </w:tc>
      </w:tr>
      <w:tr w:rsidR="008C0EC2" w14:paraId="43FE7E07"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EB9424D" w14:textId="77777777" w:rsidR="008C0EC2" w:rsidRDefault="00000000">
            <w:r>
              <w:rPr>
                <w:sz w:val="17"/>
              </w:rPr>
              <w:t>A232 / 107</w:t>
            </w:r>
          </w:p>
        </w:tc>
        <w:tc>
          <w:tcPr>
            <w:tcW w:w="2448" w:type="dxa"/>
          </w:tcPr>
          <w:p w14:paraId="64315CD6"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Ala</w:t>
            </w:r>
          </w:p>
        </w:tc>
        <w:tc>
          <w:tcPr>
            <w:tcW w:w="2448" w:type="dxa"/>
          </w:tcPr>
          <w:p w14:paraId="54C367EA"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Cys</w:t>
            </w:r>
          </w:p>
        </w:tc>
        <w:tc>
          <w:tcPr>
            <w:tcW w:w="2448" w:type="dxa"/>
          </w:tcPr>
          <w:p w14:paraId="6776649B"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4,55 Å</w:t>
            </w:r>
          </w:p>
        </w:tc>
      </w:tr>
      <w:tr w:rsidR="008C0EC2" w14:paraId="28D698DE"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535A5B7" w14:textId="77777777" w:rsidR="008C0EC2" w:rsidRDefault="00000000">
            <w:r>
              <w:rPr>
                <w:sz w:val="17"/>
              </w:rPr>
              <w:t>T330 / 205</w:t>
            </w:r>
          </w:p>
        </w:tc>
        <w:tc>
          <w:tcPr>
            <w:tcW w:w="2448" w:type="dxa"/>
          </w:tcPr>
          <w:p w14:paraId="462328C9"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Thr</w:t>
            </w:r>
          </w:p>
        </w:tc>
        <w:tc>
          <w:tcPr>
            <w:tcW w:w="2448" w:type="dxa"/>
          </w:tcPr>
          <w:p w14:paraId="4DE06F8D"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Ser</w:t>
            </w:r>
          </w:p>
        </w:tc>
        <w:tc>
          <w:tcPr>
            <w:tcW w:w="2448" w:type="dxa"/>
          </w:tcPr>
          <w:p w14:paraId="36244778"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5,50 Å</w:t>
            </w:r>
          </w:p>
        </w:tc>
      </w:tr>
      <w:tr w:rsidR="008C0EC2" w14:paraId="73F99A5D"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BB3410F" w14:textId="77777777" w:rsidR="008C0EC2" w:rsidRDefault="00000000">
            <w:r>
              <w:rPr>
                <w:sz w:val="17"/>
              </w:rPr>
              <w:t>H462 / 337</w:t>
            </w:r>
          </w:p>
        </w:tc>
        <w:tc>
          <w:tcPr>
            <w:tcW w:w="2448" w:type="dxa"/>
          </w:tcPr>
          <w:p w14:paraId="36D3B012"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His 100 %</w:t>
            </w:r>
          </w:p>
        </w:tc>
        <w:tc>
          <w:tcPr>
            <w:tcW w:w="2448" w:type="dxa"/>
          </w:tcPr>
          <w:p w14:paraId="7216714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Thr 100 %</w:t>
            </w:r>
          </w:p>
        </w:tc>
        <w:tc>
          <w:tcPr>
            <w:tcW w:w="2448" w:type="dxa"/>
          </w:tcPr>
          <w:p w14:paraId="6204FA0C"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6,89 Å</w:t>
            </w:r>
          </w:p>
        </w:tc>
      </w:tr>
      <w:tr w:rsidR="008C0EC2" w14:paraId="11FF7DF7"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9A3D33A" w14:textId="77777777" w:rsidR="008C0EC2" w:rsidRDefault="00000000">
            <w:r>
              <w:rPr>
                <w:sz w:val="17"/>
              </w:rPr>
              <w:t>N431 / 306</w:t>
            </w:r>
          </w:p>
        </w:tc>
        <w:tc>
          <w:tcPr>
            <w:tcW w:w="2448" w:type="dxa"/>
          </w:tcPr>
          <w:p w14:paraId="2CEB3236"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Asn</w:t>
            </w:r>
          </w:p>
        </w:tc>
        <w:tc>
          <w:tcPr>
            <w:tcW w:w="2448" w:type="dxa"/>
          </w:tcPr>
          <w:p w14:paraId="55F208C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w:t>
            </w:r>
          </w:p>
        </w:tc>
        <w:tc>
          <w:tcPr>
            <w:tcW w:w="2448" w:type="dxa"/>
          </w:tcPr>
          <w:p w14:paraId="41486961"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10,06 Å</w:t>
            </w:r>
          </w:p>
        </w:tc>
      </w:tr>
      <w:tr w:rsidR="008C0EC2" w14:paraId="12865727"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1902A66" w14:textId="77777777" w:rsidR="008C0EC2" w:rsidRDefault="00000000">
            <w:r>
              <w:rPr>
                <w:sz w:val="17"/>
              </w:rPr>
              <w:t>S159 / 34</w:t>
            </w:r>
          </w:p>
        </w:tc>
        <w:tc>
          <w:tcPr>
            <w:tcW w:w="2448" w:type="dxa"/>
          </w:tcPr>
          <w:p w14:paraId="62B75156"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Ser</w:t>
            </w:r>
          </w:p>
        </w:tc>
        <w:tc>
          <w:tcPr>
            <w:tcW w:w="2448" w:type="dxa"/>
          </w:tcPr>
          <w:p w14:paraId="2DB8389E"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w:t>
            </w:r>
          </w:p>
        </w:tc>
        <w:tc>
          <w:tcPr>
            <w:tcW w:w="2448" w:type="dxa"/>
          </w:tcPr>
          <w:p w14:paraId="0F60E03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23,50 Å</w:t>
            </w:r>
          </w:p>
        </w:tc>
      </w:tr>
    </w:tbl>
    <w:p w14:paraId="46CA3D59" w14:textId="77777777" w:rsidR="008C0EC2" w:rsidRDefault="008C0EC2"/>
    <w:p w14:paraId="57A0526D" w14:textId="77777777" w:rsidR="008C0EC2" w:rsidRPr="00391BFA" w:rsidRDefault="00000000">
      <w:pPr>
        <w:rPr>
          <w:lang w:val="es-ES"/>
        </w:rPr>
      </w:pPr>
      <w:r w:rsidRPr="00391BFA">
        <w:rPr>
          <w:lang w:val="es-ES"/>
        </w:rPr>
        <w:t xml:space="preserve">La </w:t>
      </w:r>
      <w:r w:rsidRPr="00391BFA">
        <w:rPr>
          <w:b/>
          <w:lang w:val="es-ES"/>
        </w:rPr>
        <w:t>His462</w:t>
      </w:r>
      <w:r w:rsidRPr="00391BFA">
        <w:rPr>
          <w:lang w:val="es-ES"/>
        </w:rPr>
        <w:t xml:space="preserve"> es la histidina de la firma </w:t>
      </w:r>
      <w:r w:rsidRPr="00391BFA">
        <w:rPr>
          <w:rFonts w:ascii="Consolas" w:hAnsi="Consolas"/>
          <w:sz w:val="18"/>
          <w:lang w:val="es-ES"/>
        </w:rPr>
        <w:t>SAGxACH</w:t>
      </w:r>
      <w:r w:rsidRPr="00391BFA">
        <w:rPr>
          <w:lang w:val="es-ES"/>
        </w:rPr>
        <w:t>: conservada al 100 % en SCLY-like, y en NFS1/NFS2 la posición equivalente es Thr al 100 %. A 6,89 Å del cofactor.</w:t>
      </w:r>
    </w:p>
    <w:p w14:paraId="3C870A4C" w14:textId="77777777" w:rsidR="008C0EC2" w:rsidRPr="00391BFA" w:rsidRDefault="00000000">
      <w:pPr>
        <w:rPr>
          <w:lang w:val="es-ES"/>
        </w:rPr>
      </w:pPr>
      <w:r w:rsidRPr="00391BFA">
        <w:rPr>
          <w:lang w:val="es-ES"/>
        </w:rPr>
        <w:t xml:space="preserve">(Asn134 / posición 9 quedó justo afuera del corte, con H = 0,530 — y es el residuo </w:t>
      </w:r>
      <w:r w:rsidRPr="00391BFA">
        <w:rPr>
          <w:b/>
          <w:lang w:val="es-ES"/>
        </w:rPr>
        <w:t>más cercano al sustrato</w:t>
      </w:r>
      <w:r w:rsidRPr="00391BFA">
        <w:rPr>
          <w:lang w:val="es-ES"/>
        </w:rPr>
        <w:t xml:space="preserve"> de todos, a 3,63 Å. Vale la pena mirarla.)</w:t>
      </w:r>
    </w:p>
    <w:p w14:paraId="23A2D243" w14:textId="77777777" w:rsidR="008C0EC2" w:rsidRPr="00391BFA" w:rsidRDefault="00000000">
      <w:pPr>
        <w:rPr>
          <w:lang w:val="es-ES"/>
        </w:rPr>
      </w:pPr>
      <w:r w:rsidRPr="00391BFA">
        <w:rPr>
          <w:b/>
          <w:lang w:val="es-ES"/>
        </w:rPr>
        <w:t>El test no circular.</w:t>
      </w:r>
      <w:r w:rsidRPr="00391BFA">
        <w:rPr>
          <w:lang w:val="es-ES"/>
        </w:rPr>
        <w:t xml:space="preserve"> En vez de comparar bolsillo contra superficie, se correlacionó </w:t>
      </w:r>
      <w:r w:rsidRPr="00391BFA">
        <w:rPr>
          <w:b/>
          <w:lang w:val="es-ES"/>
        </w:rPr>
        <w:t>conservación contra distancia al cofactor</w:t>
      </w:r>
      <w:r w:rsidRPr="00391BFA">
        <w:rPr>
          <w:lang w:val="es-ES"/>
        </w:rPr>
        <w:t xml:space="preserve"> sobre todas las posiciones:</w:t>
      </w:r>
    </w:p>
    <w:p w14:paraId="38692736" w14:textId="77777777" w:rsidR="008C0EC2" w:rsidRDefault="00000000">
      <w:pPr>
        <w:pStyle w:val="ListBullet"/>
      </w:pPr>
      <w:r>
        <w:lastRenderedPageBreak/>
        <w:t xml:space="preserve">Spearman </w:t>
      </w:r>
      <w:r>
        <w:rPr>
          <w:b/>
        </w:rPr>
        <w:t>ρ = −0,54</w:t>
      </w:r>
      <w:r>
        <w:t xml:space="preserve">, </w:t>
      </w:r>
      <w:r>
        <w:rPr>
          <w:b/>
        </w:rPr>
        <w:t>p = 2 × 10⁻²⁷</w:t>
      </w:r>
      <w:r>
        <w:t>.</w:t>
      </w:r>
    </w:p>
    <w:p w14:paraId="35121869" w14:textId="77777777" w:rsidR="008C0EC2" w:rsidRPr="00391BFA" w:rsidRDefault="00000000">
      <w:pPr>
        <w:pStyle w:val="ListBullet"/>
        <w:rPr>
          <w:lang w:val="es-ES"/>
        </w:rPr>
      </w:pPr>
      <w:r w:rsidRPr="00391BFA">
        <w:rPr>
          <w:lang w:val="es-ES"/>
        </w:rPr>
        <w:t xml:space="preserve">Posiciones cercanas (&lt; 8 Å, n = 46): conservación mediana </w:t>
      </w:r>
      <w:r w:rsidRPr="00391BFA">
        <w:rPr>
          <w:b/>
          <w:lang w:val="es-ES"/>
        </w:rPr>
        <w:t>0,924</w:t>
      </w:r>
      <w:r w:rsidRPr="00391BFA">
        <w:rPr>
          <w:lang w:val="es-ES"/>
        </w:rPr>
        <w:t>.</w:t>
      </w:r>
    </w:p>
    <w:p w14:paraId="123F4D2A" w14:textId="77777777" w:rsidR="008C0EC2" w:rsidRPr="00391BFA" w:rsidRDefault="00000000">
      <w:pPr>
        <w:pStyle w:val="ListBullet"/>
        <w:rPr>
          <w:lang w:val="es-ES"/>
        </w:rPr>
      </w:pPr>
      <w:r w:rsidRPr="00391BFA">
        <w:rPr>
          <w:lang w:val="es-ES"/>
        </w:rPr>
        <w:t xml:space="preserve">Posiciones lejanas (≥ 15 Å, n = 197): conservación mediana </w:t>
      </w:r>
      <w:r w:rsidRPr="00391BFA">
        <w:rPr>
          <w:b/>
          <w:lang w:val="es-ES"/>
        </w:rPr>
        <w:t>0,363</w:t>
      </w:r>
      <w:r w:rsidRPr="00391BFA">
        <w:rPr>
          <w:lang w:val="es-ES"/>
        </w:rPr>
        <w:t>.</w:t>
      </w:r>
    </w:p>
    <w:p w14:paraId="217FEFA5" w14:textId="77777777" w:rsidR="008C0EC2" w:rsidRDefault="00000000">
      <w:pPr>
        <w:pStyle w:val="ListBullet"/>
      </w:pPr>
      <w:r>
        <w:t xml:space="preserve">Mann-Whitney </w:t>
      </w:r>
      <w:r>
        <w:rPr>
          <w:b/>
        </w:rPr>
        <w:t>p = 5 × 10⁻¹⁶</w:t>
      </w:r>
      <w:r>
        <w:t>.</w:t>
      </w:r>
    </w:p>
    <w:p w14:paraId="441946F0" w14:textId="77777777" w:rsidR="008C0EC2" w:rsidRPr="00391BFA" w:rsidRDefault="00000000">
      <w:pPr>
        <w:rPr>
          <w:lang w:val="es-ES"/>
        </w:rPr>
      </w:pPr>
      <w:r w:rsidRPr="00391BFA">
        <w:rPr>
          <w:lang w:val="es-ES"/>
        </w:rPr>
        <w:t>Esto no es circular: la distancia al cofactor se mide en la estructura, la conservación se mide en el alineamiento, y son dos fuentes de datos independientes.</w:t>
      </w:r>
    </w:p>
    <w:p w14:paraId="18C32F4B" w14:textId="77777777" w:rsidR="008C0EC2" w:rsidRDefault="00000000">
      <w:pPr>
        <w:jc w:val="center"/>
      </w:pPr>
      <w:r>
        <w:rPr>
          <w:noProof/>
        </w:rPr>
        <w:drawing>
          <wp:inline distT="0" distB="0" distL="0" distR="0" wp14:anchorId="1B007142" wp14:editId="7B05C2CC">
            <wp:extent cx="5120640" cy="21705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servacion_sdp.png"/>
                    <pic:cNvPicPr/>
                  </pic:nvPicPr>
                  <pic:blipFill>
                    <a:blip r:embed="rId23"/>
                    <a:stretch>
                      <a:fillRect/>
                    </a:stretch>
                  </pic:blipFill>
                  <pic:spPr>
                    <a:xfrm>
                      <a:off x="0" y="0"/>
                      <a:ext cx="5120640" cy="2170566"/>
                    </a:xfrm>
                    <a:prstGeom prst="rect">
                      <a:avLst/>
                    </a:prstGeom>
                  </pic:spPr>
                </pic:pic>
              </a:graphicData>
            </a:graphic>
          </wp:inline>
        </w:drawing>
      </w:r>
    </w:p>
    <w:p w14:paraId="12FA1C60" w14:textId="77777777" w:rsidR="008C0EC2" w:rsidRPr="00391BFA" w:rsidRDefault="00000000">
      <w:pPr>
        <w:jc w:val="center"/>
        <w:rPr>
          <w:lang w:val="es-ES"/>
        </w:rPr>
      </w:pPr>
      <w:r w:rsidRPr="00391BFA">
        <w:rPr>
          <w:i/>
          <w:color w:val="555555"/>
          <w:sz w:val="17"/>
          <w:lang w:val="es-ES"/>
        </w:rPr>
        <w:t>Conservación por posición y residuos discriminantes de familia</w:t>
      </w:r>
    </w:p>
    <w:p w14:paraId="201F5755" w14:textId="77777777" w:rsidR="008C0EC2" w:rsidRDefault="00000000">
      <w:pPr>
        <w:jc w:val="center"/>
      </w:pPr>
      <w:r>
        <w:rPr>
          <w:noProof/>
        </w:rPr>
        <w:drawing>
          <wp:inline distT="0" distB="0" distL="0" distR="0" wp14:anchorId="270EF370" wp14:editId="039DD5C0">
            <wp:extent cx="5120640" cy="33604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4767c6b_graficosparkSCLYdistinguidasdeNFSs.png"/>
                    <pic:cNvPicPr/>
                  </pic:nvPicPr>
                  <pic:blipFill>
                    <a:blip r:embed="rId24"/>
                    <a:stretch>
                      <a:fillRect/>
                    </a:stretch>
                  </pic:blipFill>
                  <pic:spPr>
                    <a:xfrm>
                      <a:off x="0" y="0"/>
                      <a:ext cx="5120640" cy="3360420"/>
                    </a:xfrm>
                    <a:prstGeom prst="rect">
                      <a:avLst/>
                    </a:prstGeom>
                  </pic:spPr>
                </pic:pic>
              </a:graphicData>
            </a:graphic>
          </wp:inline>
        </w:drawing>
      </w:r>
    </w:p>
    <w:p w14:paraId="6D662427" w14:textId="77777777" w:rsidR="008C0EC2" w:rsidRPr="00391BFA" w:rsidRDefault="00000000">
      <w:pPr>
        <w:jc w:val="center"/>
        <w:rPr>
          <w:lang w:val="es-ES"/>
        </w:rPr>
      </w:pPr>
      <w:r w:rsidRPr="00391BFA">
        <w:rPr>
          <w:i/>
          <w:color w:val="555555"/>
          <w:sz w:val="17"/>
          <w:lang w:val="es-ES"/>
        </w:rPr>
        <w:t>Separación de SCLY respecto de las NFS en el espacio de características</w:t>
      </w:r>
    </w:p>
    <w:p w14:paraId="0285E8ED" w14:textId="77777777" w:rsidR="008C0EC2" w:rsidRPr="00391BFA" w:rsidRDefault="00000000">
      <w:pPr>
        <w:rPr>
          <w:lang w:val="es-ES"/>
        </w:rPr>
      </w:pPr>
      <w:r w:rsidRPr="00391BFA">
        <w:rPr>
          <w:b/>
          <w:lang w:val="es-ES"/>
        </w:rPr>
        <w:t>Nota de numeración, para que no se pierda.</w:t>
      </w:r>
      <w:r w:rsidRPr="00391BFA">
        <w:rPr>
          <w:lang w:val="es-ES"/>
        </w:rPr>
        <w:t xml:space="preserve"> El modelo </w:t>
      </w:r>
      <w:r w:rsidRPr="00391BFA">
        <w:rPr>
          <w:rFonts w:ascii="Consolas" w:hAnsi="Consolas"/>
          <w:sz w:val="18"/>
          <w:lang w:val="es-ES"/>
        </w:rPr>
        <w:t>HText.cif</w:t>
      </w:r>
      <w:r w:rsidRPr="00391BFA">
        <w:rPr>
          <w:lang w:val="es-ES"/>
        </w:rPr>
        <w:t xml:space="preserve"> tiene 478 residuos y corresponde a los residuos </w:t>
      </w:r>
      <w:r w:rsidRPr="00391BFA">
        <w:rPr>
          <w:b/>
          <w:lang w:val="es-ES"/>
        </w:rPr>
        <w:t>1811–2288</w:t>
      </w:r>
      <w:r w:rsidRPr="00391BFA">
        <w:rPr>
          <w:lang w:val="es-ES"/>
        </w:rPr>
        <w:t xml:space="preserve"> de </w:t>
      </w:r>
      <w:r w:rsidRPr="00391BFA">
        <w:rPr>
          <w:rFonts w:ascii="Consolas" w:hAnsi="Consolas"/>
          <w:sz w:val="18"/>
          <w:lang w:val="es-ES"/>
        </w:rPr>
        <w:t>KAF8071094.1</w:t>
      </w:r>
      <w:r w:rsidRPr="00391BFA">
        <w:rPr>
          <w:lang w:val="es-ES"/>
        </w:rPr>
        <w:t xml:space="preserve">. La tabla de conservación usa un offset de 125 respecto del modelo. </w:t>
      </w:r>
      <w:r>
        <w:t xml:space="preserve">Equivalencias: Cys336 (tabla) = Cys461 (modelo); Lys210 = Lys335; Gly333 = Gly458; Asn9 = Asn134; Thr73 = Thr198. </w:t>
      </w:r>
      <w:r w:rsidRPr="00391BFA">
        <w:rPr>
          <w:lang w:val="es-ES"/>
        </w:rPr>
        <w:t xml:space="preserve">El pLDDT </w:t>
      </w:r>
      <w:r w:rsidRPr="00391BFA">
        <w:rPr>
          <w:lang w:val="es-ES"/>
        </w:rPr>
        <w:lastRenderedPageBreak/>
        <w:t xml:space="preserve">medio del modelo es 79,2, pero desagregado: residuos 1–125 → </w:t>
      </w:r>
      <w:r w:rsidRPr="00391BFA">
        <w:rPr>
          <w:b/>
          <w:lang w:val="es-ES"/>
        </w:rPr>
        <w:t>33,9</w:t>
      </w:r>
      <w:r w:rsidRPr="00391BFA">
        <w:rPr>
          <w:lang w:val="es-ES"/>
        </w:rPr>
        <w:t xml:space="preserve"> (el lazo del recorte, basura) y residuos 126–478 → </w:t>
      </w:r>
      <w:r w:rsidRPr="00391BFA">
        <w:rPr>
          <w:b/>
          <w:lang w:val="es-ES"/>
        </w:rPr>
        <w:t>95,3</w:t>
      </w:r>
      <w:r w:rsidRPr="00391BFA">
        <w:rPr>
          <w:lang w:val="es-ES"/>
        </w:rPr>
        <w:t xml:space="preserve"> (excelente).</w:t>
      </w:r>
    </w:p>
    <w:p w14:paraId="66459035" w14:textId="77777777" w:rsidR="008C0EC2" w:rsidRPr="00391BFA" w:rsidRDefault="008C0EC2">
      <w:pPr>
        <w:rPr>
          <w:lang w:val="es-ES"/>
        </w:rPr>
      </w:pPr>
    </w:p>
    <w:p w14:paraId="15BA1F5E" w14:textId="77777777" w:rsidR="008C0EC2" w:rsidRPr="00391BFA" w:rsidRDefault="00000000">
      <w:pPr>
        <w:pStyle w:val="Heading2"/>
        <w:rPr>
          <w:lang w:val="es-ES"/>
        </w:rPr>
      </w:pPr>
      <w:r w:rsidRPr="00391BFA">
        <w:rPr>
          <w:lang w:val="es-ES"/>
        </w:rPr>
        <w:t>2.13 — La curación del locus, validada con RNA-seq</w:t>
      </w:r>
    </w:p>
    <w:p w14:paraId="20522906" w14:textId="77777777" w:rsidR="008C0EC2" w:rsidRPr="00391BFA" w:rsidRDefault="00000000">
      <w:pPr>
        <w:rPr>
          <w:lang w:val="es-ES"/>
        </w:rPr>
      </w:pPr>
      <w:r w:rsidRPr="00391BFA">
        <w:rPr>
          <w:lang w:val="es-ES"/>
        </w:rPr>
        <w:t>Esta es la pieza que convierte el trabajo de "análisis comparativo" en "resultado genómico con evidencia experimental".</w:t>
      </w:r>
    </w:p>
    <w:p w14:paraId="0AFC96C9" w14:textId="77777777" w:rsidR="008C0EC2" w:rsidRPr="00391BFA" w:rsidRDefault="00000000">
      <w:pPr>
        <w:rPr>
          <w:lang w:val="es-ES"/>
        </w:rPr>
      </w:pPr>
      <w:r w:rsidRPr="00391BFA">
        <w:rPr>
          <w:b/>
          <w:lang w:val="es-ES"/>
        </w:rPr>
        <w:t>El problema.</w:t>
      </w:r>
      <w:r w:rsidRPr="00391BFA">
        <w:rPr>
          <w:lang w:val="es-ES"/>
        </w:rPr>
        <w:t xml:space="preserve"> El gen SCLY-like de PABB004 está mal anotado: forma parte del ORF quimérico de 3383 aa (</w:t>
      </w:r>
      <w:r w:rsidRPr="00391BFA">
        <w:rPr>
          <w:rFonts w:ascii="Consolas" w:hAnsi="Consolas"/>
          <w:sz w:val="18"/>
          <w:lang w:val="es-ES"/>
        </w:rPr>
        <w:t>HT031_001176</w:t>
      </w:r>
      <w:r w:rsidRPr="00391BFA">
        <w:rPr>
          <w:lang w:val="es-ES"/>
        </w:rPr>
        <w:t>, 33 exones repartidos en 17,3 kb, 1.169.138–1.186.471). El CDS reconstruido de 10.152 nt traduce exactamente a la proteína depositada — o sea, el error está en el modelo génico, no en la traducción.</w:t>
      </w:r>
    </w:p>
    <w:p w14:paraId="17315B10" w14:textId="77777777" w:rsidR="008C0EC2" w:rsidRPr="00391BFA" w:rsidRDefault="00000000">
      <w:pPr>
        <w:rPr>
          <w:lang w:val="es-ES"/>
        </w:rPr>
      </w:pPr>
      <w:r w:rsidRPr="00391BFA">
        <w:rPr>
          <w:b/>
          <w:lang w:val="es-ES"/>
        </w:rPr>
        <w:t>Cómo se encontró el límite correcto.</w:t>
      </w:r>
      <w:r w:rsidRPr="00391BFA">
        <w:rPr>
          <w:lang w:val="es-ES"/>
        </w:rPr>
        <w:t xml:space="preserve"> Se usó como guía el ortólogo de </w:t>
      </w:r>
      <w:r w:rsidRPr="00391BFA">
        <w:rPr>
          <w:i/>
          <w:lang w:val="es-ES"/>
        </w:rPr>
        <w:t>Scenedesmus</w:t>
      </w:r>
      <w:r w:rsidRPr="00391BFA">
        <w:rPr>
          <w:lang w:val="es-ES"/>
        </w:rPr>
        <w:t xml:space="preserve"> sp. NREL 46B-D3 (</w:t>
      </w:r>
      <w:r w:rsidRPr="00391BFA">
        <w:rPr>
          <w:rFonts w:ascii="Consolas" w:hAnsi="Consolas"/>
          <w:sz w:val="18"/>
          <w:lang w:val="es-ES"/>
        </w:rPr>
        <w:t>KAF6265975.1</w:t>
      </w:r>
      <w:r w:rsidRPr="00391BFA">
        <w:rPr>
          <w:lang w:val="es-ES"/>
        </w:rPr>
        <w:t xml:space="preserve">, 480 aa, 9 exones, locus </w:t>
      </w:r>
      <w:r w:rsidRPr="00391BFA">
        <w:rPr>
          <w:rFonts w:ascii="Consolas" w:hAnsi="Consolas"/>
          <w:sz w:val="18"/>
          <w:lang w:val="es-ES"/>
        </w:rPr>
        <w:t>COO60DRAFT_772314</w:t>
      </w:r>
      <w:r w:rsidRPr="00391BFA">
        <w:rPr>
          <w:lang w:val="es-ES"/>
        </w:rPr>
        <w:t xml:space="preserve">). El tramo del ORF de PABB004 alinea con él en 1923–2293 con </w:t>
      </w:r>
      <w:r w:rsidRPr="00391BFA">
        <w:rPr>
          <w:b/>
          <w:lang w:val="es-ES"/>
        </w:rPr>
        <w:t>72,1 % de identidad sobre 366 aa</w:t>
      </w:r>
      <w:r w:rsidRPr="00391BFA">
        <w:rPr>
          <w:lang w:val="es-ES"/>
        </w:rPr>
        <w:t xml:space="preserve">, cubriendo los residuos 61–427 de NREL. Faltaban los </w:t>
      </w:r>
      <w:r w:rsidRPr="00391BFA">
        <w:rPr>
          <w:b/>
          <w:lang w:val="es-ES"/>
        </w:rPr>
        <w:t>53 residuos C-terminales</w:t>
      </w:r>
      <w:r w:rsidRPr="00391BFA">
        <w:rPr>
          <w:lang w:val="es-ES"/>
        </w:rPr>
        <w:t>.</w:t>
      </w:r>
    </w:p>
    <w:p w14:paraId="5B7F3792" w14:textId="77777777" w:rsidR="008C0EC2" w:rsidRPr="00391BFA" w:rsidRDefault="00000000">
      <w:pPr>
        <w:rPr>
          <w:lang w:val="es-ES"/>
        </w:rPr>
      </w:pPr>
      <w:r w:rsidRPr="00391BFA">
        <w:rPr>
          <w:lang w:val="es-ES"/>
        </w:rPr>
        <w:t xml:space="preserve">Leyendo el genoma de corrido desde la posición </w:t>
      </w:r>
      <w:r w:rsidRPr="00391BFA">
        <w:rPr>
          <w:b/>
          <w:lang w:val="es-ES"/>
        </w:rPr>
        <w:t>1.180.753</w:t>
      </w:r>
      <w:r w:rsidRPr="00391BFA">
        <w:rPr>
          <w:lang w:val="es-ES"/>
        </w:rPr>
        <w:t xml:space="preserve"> (donde el anotador cortaba) aparecen </w:t>
      </w:r>
      <w:r w:rsidRPr="00391BFA">
        <w:rPr>
          <w:b/>
          <w:lang w:val="es-ES"/>
        </w:rPr>
        <w:t>39 codones más</w:t>
      </w:r>
      <w:r w:rsidRPr="00391BFA">
        <w:rPr>
          <w:lang w:val="es-ES"/>
        </w:rPr>
        <w:t xml:space="preserve"> —</w:t>
      </w:r>
      <w:r w:rsidRPr="00391BFA">
        <w:rPr>
          <w:rFonts w:ascii="Consolas" w:hAnsi="Consolas"/>
          <w:sz w:val="18"/>
          <w:lang w:val="es-ES"/>
        </w:rPr>
        <w:t>VGTLRLSTGRHTTPGDVDAAVALITAAARKQGLDLGAGA</w:t>
      </w:r>
      <w:r w:rsidRPr="00391BFA">
        <w:rPr>
          <w:lang w:val="es-ES"/>
        </w:rPr>
        <w:t xml:space="preserve">, </w:t>
      </w:r>
      <w:r w:rsidRPr="00391BFA">
        <w:rPr>
          <w:b/>
          <w:lang w:val="es-ES"/>
        </w:rPr>
        <w:t>75,7 % de identidad</w:t>
      </w:r>
      <w:r w:rsidRPr="00391BFA">
        <w:rPr>
          <w:lang w:val="es-ES"/>
        </w:rPr>
        <w:t xml:space="preserve"> con NREL 428–464 y los </w:t>
      </w:r>
      <w:r w:rsidRPr="00391BFA">
        <w:rPr>
          <w:b/>
          <w:lang w:val="es-ES"/>
        </w:rPr>
        <w:t>primeros 14 residuos idénticos</w:t>
      </w:r>
      <w:r w:rsidRPr="00391BFA">
        <w:rPr>
          <w:lang w:val="es-ES"/>
        </w:rPr>
        <w:t xml:space="preserve">— hasta un </w:t>
      </w:r>
      <w:r w:rsidRPr="00391BFA">
        <w:rPr>
          <w:b/>
          <w:lang w:val="es-ES"/>
        </w:rPr>
        <w:t>TGA en 1.180.871–1.180.873</w:t>
      </w:r>
      <w:r w:rsidRPr="00391BFA">
        <w:rPr>
          <w:lang w:val="es-ES"/>
        </w:rPr>
        <w:t>. Es decir: el anotador metió un intrón espurio justo ahí y se llevó puesto el extremo del gen.</w:t>
      </w:r>
    </w:p>
    <w:p w14:paraId="3A83D62C" w14:textId="77777777" w:rsidR="008C0EC2" w:rsidRDefault="00000000">
      <w:r>
        <w:rPr>
          <w:b/>
        </w:rPr>
        <w:t>El modelo curado:</w:t>
      </w:r>
    </w:p>
    <w:tbl>
      <w:tblPr>
        <w:tblStyle w:val="LightGrid-Accent1"/>
        <w:tblW w:w="0" w:type="auto"/>
        <w:jc w:val="center"/>
        <w:tblLook w:val="04A0" w:firstRow="1" w:lastRow="0" w:firstColumn="1" w:lastColumn="0" w:noHBand="0" w:noVBand="1"/>
      </w:tblPr>
      <w:tblGrid>
        <w:gridCol w:w="4896"/>
        <w:gridCol w:w="4896"/>
      </w:tblGrid>
      <w:tr w:rsidR="008C0EC2" w14:paraId="62C59863"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BC32AB" w14:textId="77777777" w:rsidR="008C0EC2" w:rsidRDefault="00000000">
            <w:r>
              <w:rPr>
                <w:sz w:val="17"/>
              </w:rPr>
              <w:t>Gen</w:t>
            </w:r>
          </w:p>
        </w:tc>
        <w:tc>
          <w:tcPr>
            <w:tcW w:w="4896" w:type="dxa"/>
          </w:tcPr>
          <w:p w14:paraId="44F0BE69"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1.179.501 – 1.180.873, hebra +</w:t>
            </w:r>
          </w:p>
        </w:tc>
      </w:tr>
      <w:tr w:rsidR="008C0EC2" w14:paraId="684B1DC9"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73EA6D" w14:textId="77777777" w:rsidR="008C0EC2" w:rsidRDefault="00000000">
            <w:r>
              <w:rPr>
                <w:sz w:val="17"/>
              </w:rPr>
              <w:t>Exón 1</w:t>
            </w:r>
          </w:p>
        </w:tc>
        <w:tc>
          <w:tcPr>
            <w:tcW w:w="4896" w:type="dxa"/>
          </w:tcPr>
          <w:p w14:paraId="66F536F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1.179.501 – 1.180.240</w:t>
            </w:r>
          </w:p>
        </w:tc>
      </w:tr>
      <w:tr w:rsidR="008C0EC2" w14:paraId="25E3FC71"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4C2A9B9" w14:textId="77777777" w:rsidR="008C0EC2" w:rsidRDefault="00000000">
            <w:r>
              <w:rPr>
                <w:sz w:val="17"/>
              </w:rPr>
              <w:t>Intrón</w:t>
            </w:r>
          </w:p>
        </w:tc>
        <w:tc>
          <w:tcPr>
            <w:tcW w:w="4896" w:type="dxa"/>
          </w:tcPr>
          <w:p w14:paraId="5AF5E1CB"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1.180.241 – 1.180.347 (107 pb, GT-AG canónico)</w:t>
            </w:r>
          </w:p>
        </w:tc>
      </w:tr>
      <w:tr w:rsidR="008C0EC2" w14:paraId="50D6C7E7"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65850C5" w14:textId="77777777" w:rsidR="008C0EC2" w:rsidRDefault="00000000">
            <w:r>
              <w:rPr>
                <w:sz w:val="17"/>
              </w:rPr>
              <w:t>Exón 2</w:t>
            </w:r>
          </w:p>
        </w:tc>
        <w:tc>
          <w:tcPr>
            <w:tcW w:w="4896" w:type="dxa"/>
          </w:tcPr>
          <w:p w14:paraId="751F679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1.180.348 – 1.180.873</w:t>
            </w:r>
          </w:p>
        </w:tc>
      </w:tr>
      <w:tr w:rsidR="008C0EC2" w14:paraId="71067002"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ABFC90D" w14:textId="77777777" w:rsidR="008C0EC2" w:rsidRDefault="00000000">
            <w:r>
              <w:rPr>
                <w:sz w:val="17"/>
              </w:rPr>
              <w:t>CDS</w:t>
            </w:r>
          </w:p>
        </w:tc>
        <w:tc>
          <w:tcPr>
            <w:tcW w:w="4896" w:type="dxa"/>
          </w:tcPr>
          <w:p w14:paraId="0A90D34A"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1.266 nt</w:t>
            </w:r>
          </w:p>
        </w:tc>
      </w:tr>
      <w:tr w:rsidR="008C0EC2" w14:paraId="1753AEC0"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F03EA6D" w14:textId="77777777" w:rsidR="008C0EC2" w:rsidRDefault="00000000">
            <w:r>
              <w:rPr>
                <w:sz w:val="17"/>
              </w:rPr>
              <w:t>Proteína</w:t>
            </w:r>
          </w:p>
        </w:tc>
        <w:tc>
          <w:tcPr>
            <w:tcW w:w="4896" w:type="dxa"/>
          </w:tcPr>
          <w:p w14:paraId="74450813"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421 aa</w:t>
            </w:r>
          </w:p>
        </w:tc>
      </w:tr>
      <w:tr w:rsidR="008C0EC2" w14:paraId="5B722B3B"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063BA52" w14:textId="77777777" w:rsidR="008C0EC2" w:rsidRDefault="00000000">
            <w:r>
              <w:rPr>
                <w:sz w:val="17"/>
              </w:rPr>
              <w:t>Lys del PLP</w:t>
            </w:r>
          </w:p>
        </w:tc>
        <w:tc>
          <w:tcPr>
            <w:tcW w:w="4896" w:type="dxa"/>
          </w:tcPr>
          <w:p w14:paraId="0CEF829B"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K234</w:t>
            </w:r>
            <w:r>
              <w:rPr>
                <w:sz w:val="17"/>
              </w:rPr>
              <w:t xml:space="preserve"> (</w:t>
            </w:r>
            <w:r>
              <w:rPr>
                <w:rFonts w:ascii="Consolas" w:hAnsi="Consolas"/>
                <w:sz w:val="17"/>
              </w:rPr>
              <w:t>LTLIGHKFGAPKG</w:t>
            </w:r>
            <w:r>
              <w:rPr>
                <w:sz w:val="17"/>
              </w:rPr>
              <w:t>)</w:t>
            </w:r>
          </w:p>
        </w:tc>
      </w:tr>
      <w:tr w:rsidR="008C0EC2" w14:paraId="43E3FDA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5F1641F" w14:textId="77777777" w:rsidR="008C0EC2" w:rsidRDefault="00000000">
            <w:r>
              <w:rPr>
                <w:sz w:val="17"/>
              </w:rPr>
              <w:t>Cys catalítica</w:t>
            </w:r>
          </w:p>
        </w:tc>
        <w:tc>
          <w:tcPr>
            <w:tcW w:w="4896" w:type="dxa"/>
          </w:tcPr>
          <w:p w14:paraId="589AC0D1"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C360</w:t>
            </w:r>
            <w:r>
              <w:rPr>
                <w:sz w:val="17"/>
              </w:rPr>
              <w:t xml:space="preserve">, bucle </w:t>
            </w:r>
            <w:r>
              <w:rPr>
                <w:rFonts w:ascii="Consolas" w:hAnsi="Consolas"/>
                <w:sz w:val="17"/>
              </w:rPr>
              <w:t>LAASAGAACHSTGGPSVS</w:t>
            </w:r>
          </w:p>
        </w:tc>
      </w:tr>
      <w:tr w:rsidR="008C0EC2" w14:paraId="509CD6E4"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C8790F8" w14:textId="77777777" w:rsidR="008C0EC2" w:rsidRDefault="00000000">
            <w:r>
              <w:rPr>
                <w:sz w:val="17"/>
              </w:rPr>
              <w:t>His diagnóstica</w:t>
            </w:r>
          </w:p>
        </w:tc>
        <w:tc>
          <w:tcPr>
            <w:tcW w:w="4896" w:type="dxa"/>
          </w:tcPr>
          <w:p w14:paraId="17D139A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H361</w:t>
            </w:r>
          </w:p>
        </w:tc>
      </w:tr>
    </w:tbl>
    <w:p w14:paraId="2BECB6E8" w14:textId="77777777" w:rsidR="008C0EC2" w:rsidRDefault="008C0EC2"/>
    <w:p w14:paraId="3331A019" w14:textId="77777777" w:rsidR="008C0EC2" w:rsidRDefault="00000000">
      <w:pPr>
        <w:jc w:val="center"/>
      </w:pPr>
      <w:r>
        <w:rPr>
          <w:noProof/>
        </w:rPr>
        <w:drawing>
          <wp:inline distT="0" distB="0" distL="0" distR="0" wp14:anchorId="591DD3DB" wp14:editId="68555FBC">
            <wp:extent cx="5120640" cy="12506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gustus_intrones.png"/>
                    <pic:cNvPicPr/>
                  </pic:nvPicPr>
                  <pic:blipFill>
                    <a:blip r:embed="rId25"/>
                    <a:stretch>
                      <a:fillRect/>
                    </a:stretch>
                  </pic:blipFill>
                  <pic:spPr>
                    <a:xfrm>
                      <a:off x="0" y="0"/>
                      <a:ext cx="5120640" cy="1250626"/>
                    </a:xfrm>
                    <a:prstGeom prst="rect">
                      <a:avLst/>
                    </a:prstGeom>
                  </pic:spPr>
                </pic:pic>
              </a:graphicData>
            </a:graphic>
          </wp:inline>
        </w:drawing>
      </w:r>
    </w:p>
    <w:p w14:paraId="11D7B34E" w14:textId="77777777" w:rsidR="008C0EC2" w:rsidRPr="00391BFA" w:rsidRDefault="00000000">
      <w:pPr>
        <w:jc w:val="center"/>
        <w:rPr>
          <w:lang w:val="es-ES"/>
        </w:rPr>
      </w:pPr>
      <w:r w:rsidRPr="00391BFA">
        <w:rPr>
          <w:i/>
          <w:color w:val="555555"/>
          <w:sz w:val="17"/>
          <w:lang w:val="es-ES"/>
        </w:rPr>
        <w:t>Estructura de intrones predicha</w:t>
      </w:r>
    </w:p>
    <w:p w14:paraId="1B06711C" w14:textId="77777777" w:rsidR="008C0EC2" w:rsidRPr="00391BFA" w:rsidRDefault="00000000">
      <w:pPr>
        <w:rPr>
          <w:lang w:val="es-ES"/>
        </w:rPr>
      </w:pPr>
      <w:r w:rsidRPr="00391BFA">
        <w:rPr>
          <w:b/>
          <w:lang w:val="es-ES"/>
        </w:rPr>
        <w:t>La validación — y acá está el dato más fuerte del trabajo.</w:t>
      </w:r>
    </w:p>
    <w:p w14:paraId="612DF45F" w14:textId="77777777" w:rsidR="008C0EC2" w:rsidRPr="00391BFA" w:rsidRDefault="00000000">
      <w:pPr>
        <w:rPr>
          <w:lang w:val="es-ES"/>
        </w:rPr>
      </w:pPr>
      <w:r w:rsidRPr="00391BFA">
        <w:rPr>
          <w:lang w:val="es-ES"/>
        </w:rPr>
        <w:t xml:space="preserve">No había forma de correr un alineador de lecturas en este entorno (HISAT2 y STAR son sólo Linux). Se resolvió de otra manera: </w:t>
      </w:r>
      <w:r w:rsidRPr="00391BFA">
        <w:rPr>
          <w:b/>
          <w:lang w:val="es-ES"/>
        </w:rPr>
        <w:t>contar k-meros exactos</w:t>
      </w:r>
      <w:r w:rsidRPr="00391BFA">
        <w:rPr>
          <w:lang w:val="es-ES"/>
        </w:rPr>
        <w:t xml:space="preserve"> de 32 nt que atraviesan cada unión, directamente sobre las lecturas crudas, </w:t>
      </w:r>
      <w:r w:rsidRPr="00391BFA">
        <w:rPr>
          <w:lang w:val="es-ES"/>
        </w:rPr>
        <w:lastRenderedPageBreak/>
        <w:t xml:space="preserve">en ambas hebras, descomprimiendo el FASTQ al vuelo. Se procesaron </w:t>
      </w:r>
      <w:r w:rsidRPr="00391BFA">
        <w:rPr>
          <w:b/>
          <w:lang w:val="es-ES"/>
        </w:rPr>
        <w:t>21.890.509 lecturas</w:t>
      </w:r>
      <w:r w:rsidRPr="00391BFA">
        <w:rPr>
          <w:lang w:val="es-ES"/>
        </w:rPr>
        <w:t xml:space="preserve"> del run </w:t>
      </w:r>
      <w:r w:rsidRPr="00391BFA">
        <w:rPr>
          <w:rFonts w:ascii="Consolas" w:hAnsi="Consolas"/>
          <w:sz w:val="18"/>
          <w:lang w:val="es-ES"/>
        </w:rPr>
        <w:t>SRR12973628</w:t>
      </w:r>
      <w:r w:rsidRPr="00391BFA">
        <w:rPr>
          <w:lang w:val="es-ES"/>
        </w:rPr>
        <w:t xml:space="preserve"> (RNA-seq de PABB004, 60,2 M pares, HiSeq 2500, cultivo batch a 5 y 13 días).</w:t>
      </w:r>
    </w:p>
    <w:p w14:paraId="3B04B901" w14:textId="77777777" w:rsidR="008C0EC2" w:rsidRPr="00391BFA" w:rsidRDefault="00000000">
      <w:pPr>
        <w:rPr>
          <w:lang w:val="es-ES"/>
        </w:rPr>
      </w:pPr>
      <w:r w:rsidRPr="00391BFA">
        <w:rPr>
          <w:b/>
          <w:lang w:val="es-ES"/>
        </w:rPr>
        <w:t>Por qué este método es válido.</w:t>
      </w:r>
      <w:r w:rsidRPr="00391BFA">
        <w:rPr>
          <w:lang w:val="es-ES"/>
        </w:rPr>
        <w:t xml:space="preserve"> Un k-mero de 32 nt que cruza una unión exón-exón </w:t>
      </w:r>
      <w:r w:rsidRPr="00391BFA">
        <w:rPr>
          <w:b/>
          <w:lang w:val="es-ES"/>
        </w:rPr>
        <w:t>sólo puede existir en el ARN maduro</w:t>
      </w:r>
      <w:r w:rsidRPr="00391BFA">
        <w:rPr>
          <w:lang w:val="es-ES"/>
        </w:rPr>
        <w:t>, nunca en el ADN genómico. Si aparece en lecturas de RNA-seq, el empalme ocurrió. No hay ambigüedad de mapeo porque es coincidencia exacta de 32 caracteres.</w:t>
      </w:r>
    </w:p>
    <w:tbl>
      <w:tblPr>
        <w:tblStyle w:val="LightGrid-Accent1"/>
        <w:tblW w:w="0" w:type="auto"/>
        <w:jc w:val="center"/>
        <w:tblLook w:val="04A0" w:firstRow="1" w:lastRow="0" w:firstColumn="1" w:lastColumn="0" w:noHBand="0" w:noVBand="1"/>
      </w:tblPr>
      <w:tblGrid>
        <w:gridCol w:w="3264"/>
        <w:gridCol w:w="3264"/>
        <w:gridCol w:w="3264"/>
      </w:tblGrid>
      <w:tr w:rsidR="008C0EC2" w14:paraId="271B8389"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F3A22B2" w14:textId="77777777" w:rsidR="008C0EC2" w:rsidRDefault="00000000">
            <w:r>
              <w:rPr>
                <w:sz w:val="17"/>
              </w:rPr>
              <w:t>Unión evaluada</w:t>
            </w:r>
          </w:p>
        </w:tc>
        <w:tc>
          <w:tcPr>
            <w:tcW w:w="3264" w:type="dxa"/>
          </w:tcPr>
          <w:p w14:paraId="3451DD82"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Lecturas de soporte</w:t>
            </w:r>
          </w:p>
        </w:tc>
        <w:tc>
          <w:tcPr>
            <w:tcW w:w="3264" w:type="dxa"/>
          </w:tcPr>
          <w:p w14:paraId="43AB8BB5" w14:textId="77777777" w:rsidR="008C0EC2" w:rsidRDefault="008C0EC2">
            <w:pPr>
              <w:cnfStyle w:val="100000000000" w:firstRow="1" w:lastRow="0" w:firstColumn="0" w:lastColumn="0" w:oddVBand="0" w:evenVBand="0" w:oddHBand="0" w:evenHBand="0" w:firstRowFirstColumn="0" w:firstRowLastColumn="0" w:lastRowFirstColumn="0" w:lastRowLastColumn="0"/>
            </w:pPr>
          </w:p>
        </w:tc>
      </w:tr>
      <w:tr w:rsidR="008C0EC2" w14:paraId="0201BEAB"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591DE02" w14:textId="77777777" w:rsidR="008C0EC2" w:rsidRDefault="00000000">
            <w:r>
              <w:rPr>
                <w:sz w:val="17"/>
              </w:rPr>
              <w:t>Intrón curado (1.180.240 \</w:t>
            </w:r>
          </w:p>
        </w:tc>
        <w:tc>
          <w:tcPr>
            <w:tcW w:w="3264" w:type="dxa"/>
          </w:tcPr>
          <w:p w14:paraId="27FED842"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1.180.348)</w:t>
            </w:r>
          </w:p>
        </w:tc>
        <w:tc>
          <w:tcPr>
            <w:tcW w:w="3264" w:type="dxa"/>
          </w:tcPr>
          <w:p w14:paraId="76BB142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29</w:t>
            </w:r>
          </w:p>
        </w:tc>
      </w:tr>
      <w:tr w:rsidR="008C0EC2" w14:paraId="74A3B2FF"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7FC6224" w14:textId="77777777" w:rsidR="008C0EC2" w:rsidRPr="00391BFA" w:rsidRDefault="00000000">
            <w:pPr>
              <w:rPr>
                <w:lang w:val="es-ES"/>
              </w:rPr>
            </w:pPr>
            <w:r w:rsidRPr="00391BFA">
              <w:rPr>
                <w:sz w:val="17"/>
                <w:lang w:val="es-ES"/>
              </w:rPr>
              <w:t>Lectura corrida en 1.180.754 (sin el intrón espurio)</w:t>
            </w:r>
          </w:p>
        </w:tc>
        <w:tc>
          <w:tcPr>
            <w:tcW w:w="3264" w:type="dxa"/>
          </w:tcPr>
          <w:p w14:paraId="484DC58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53</w:t>
            </w:r>
          </w:p>
        </w:tc>
        <w:tc>
          <w:tcPr>
            <w:tcW w:w="3264" w:type="dxa"/>
          </w:tcPr>
          <w:p w14:paraId="6A9F198A" w14:textId="77777777" w:rsidR="008C0EC2" w:rsidRDefault="008C0EC2">
            <w:pPr>
              <w:cnfStyle w:val="000000010000" w:firstRow="0" w:lastRow="0" w:firstColumn="0" w:lastColumn="0" w:oddVBand="0" w:evenVBand="0" w:oddHBand="0" w:evenHBand="1" w:firstRowFirstColumn="0" w:firstRowLastColumn="0" w:lastRowFirstColumn="0" w:lastRowLastColumn="0"/>
            </w:pPr>
          </w:p>
        </w:tc>
      </w:tr>
      <w:tr w:rsidR="008C0EC2" w14:paraId="3E66FB78"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716E81B" w14:textId="77777777" w:rsidR="008C0EC2" w:rsidRDefault="00000000">
            <w:r>
              <w:rPr>
                <w:sz w:val="17"/>
              </w:rPr>
              <w:t>Exón recuperado, interior en 1.180.800</w:t>
            </w:r>
          </w:p>
        </w:tc>
        <w:tc>
          <w:tcPr>
            <w:tcW w:w="3264" w:type="dxa"/>
          </w:tcPr>
          <w:p w14:paraId="54D33D3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21</w:t>
            </w:r>
          </w:p>
        </w:tc>
        <w:tc>
          <w:tcPr>
            <w:tcW w:w="3264" w:type="dxa"/>
          </w:tcPr>
          <w:p w14:paraId="46E0F014" w14:textId="77777777" w:rsidR="008C0EC2" w:rsidRDefault="008C0EC2">
            <w:pPr>
              <w:cnfStyle w:val="000000100000" w:firstRow="0" w:lastRow="0" w:firstColumn="0" w:lastColumn="0" w:oddVBand="0" w:evenVBand="0" w:oddHBand="1" w:evenHBand="0" w:firstRowFirstColumn="0" w:firstRowLastColumn="0" w:lastRowFirstColumn="0" w:lastRowLastColumn="0"/>
            </w:pPr>
          </w:p>
        </w:tc>
      </w:tr>
      <w:tr w:rsidR="008C0EC2" w14:paraId="09A37D96"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FC9FA05" w14:textId="77777777" w:rsidR="008C0EC2" w:rsidRDefault="00000000">
            <w:r>
              <w:rPr>
                <w:sz w:val="17"/>
              </w:rPr>
              <w:t>Empalme del modelo automático (1.180.753 \</w:t>
            </w:r>
          </w:p>
        </w:tc>
        <w:tc>
          <w:tcPr>
            <w:tcW w:w="3264" w:type="dxa"/>
          </w:tcPr>
          <w:p w14:paraId="528959F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1.181.193)</w:t>
            </w:r>
          </w:p>
        </w:tc>
        <w:tc>
          <w:tcPr>
            <w:tcW w:w="3264" w:type="dxa"/>
          </w:tcPr>
          <w:p w14:paraId="7A4D7C3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0</w:t>
            </w:r>
          </w:p>
        </w:tc>
      </w:tr>
      <w:tr w:rsidR="008C0EC2" w14:paraId="3D2A3767"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015A61A" w14:textId="77777777" w:rsidR="008C0EC2" w:rsidRDefault="00000000">
            <w:r>
              <w:rPr>
                <w:sz w:val="17"/>
              </w:rPr>
              <w:t>Control: exón de NFS2</w:t>
            </w:r>
          </w:p>
        </w:tc>
        <w:tc>
          <w:tcPr>
            <w:tcW w:w="3264" w:type="dxa"/>
          </w:tcPr>
          <w:p w14:paraId="39921FA4"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201</w:t>
            </w:r>
          </w:p>
        </w:tc>
        <w:tc>
          <w:tcPr>
            <w:tcW w:w="3264" w:type="dxa"/>
          </w:tcPr>
          <w:p w14:paraId="35D4BB82" w14:textId="77777777" w:rsidR="008C0EC2" w:rsidRDefault="008C0EC2">
            <w:pPr>
              <w:cnfStyle w:val="000000100000" w:firstRow="0" w:lastRow="0" w:firstColumn="0" w:lastColumn="0" w:oddVBand="0" w:evenVBand="0" w:oddHBand="1" w:evenHBand="0" w:firstRowFirstColumn="0" w:firstRowLastColumn="0" w:lastRowFirstColumn="0" w:lastRowLastColumn="0"/>
            </w:pPr>
          </w:p>
        </w:tc>
      </w:tr>
      <w:tr w:rsidR="008C0EC2" w14:paraId="53AA8A37"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79C47B5" w14:textId="77777777" w:rsidR="008C0EC2" w:rsidRPr="00391BFA" w:rsidRDefault="00000000">
            <w:pPr>
              <w:rPr>
                <w:lang w:val="es-ES"/>
              </w:rPr>
            </w:pPr>
            <w:r w:rsidRPr="00391BFA">
              <w:rPr>
                <w:sz w:val="17"/>
                <w:lang w:val="es-ES"/>
              </w:rPr>
              <w:t>Control: exón interno de SCLY</w:t>
            </w:r>
          </w:p>
        </w:tc>
        <w:tc>
          <w:tcPr>
            <w:tcW w:w="3264" w:type="dxa"/>
          </w:tcPr>
          <w:p w14:paraId="6177A3B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9</w:t>
            </w:r>
          </w:p>
        </w:tc>
        <w:tc>
          <w:tcPr>
            <w:tcW w:w="3264" w:type="dxa"/>
          </w:tcPr>
          <w:p w14:paraId="45CFE5AA" w14:textId="77777777" w:rsidR="008C0EC2" w:rsidRDefault="008C0EC2">
            <w:pPr>
              <w:cnfStyle w:val="000000010000" w:firstRow="0" w:lastRow="0" w:firstColumn="0" w:lastColumn="0" w:oddVBand="0" w:evenVBand="0" w:oddHBand="0" w:evenHBand="1" w:firstRowFirstColumn="0" w:firstRowLastColumn="0" w:lastRowFirstColumn="0" w:lastRowLastColumn="0"/>
            </w:pPr>
          </w:p>
        </w:tc>
      </w:tr>
    </w:tbl>
    <w:p w14:paraId="5085498E" w14:textId="77777777" w:rsidR="008C0EC2" w:rsidRDefault="008C0EC2"/>
    <w:p w14:paraId="2463A3CE" w14:textId="77777777" w:rsidR="008C0EC2" w:rsidRDefault="00000000">
      <w:pPr>
        <w:jc w:val="center"/>
      </w:pPr>
      <w:r>
        <w:rPr>
          <w:noProof/>
        </w:rPr>
        <w:drawing>
          <wp:inline distT="0" distB="0" distL="0" distR="0" wp14:anchorId="2E468DB5" wp14:editId="63B72D7F">
            <wp:extent cx="5120640" cy="36323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us_curado.png"/>
                    <pic:cNvPicPr/>
                  </pic:nvPicPr>
                  <pic:blipFill>
                    <a:blip r:embed="rId26"/>
                    <a:stretch>
                      <a:fillRect/>
                    </a:stretch>
                  </pic:blipFill>
                  <pic:spPr>
                    <a:xfrm>
                      <a:off x="0" y="0"/>
                      <a:ext cx="5120640" cy="3632333"/>
                    </a:xfrm>
                    <a:prstGeom prst="rect">
                      <a:avLst/>
                    </a:prstGeom>
                  </pic:spPr>
                </pic:pic>
              </a:graphicData>
            </a:graphic>
          </wp:inline>
        </w:drawing>
      </w:r>
    </w:p>
    <w:p w14:paraId="1D8FD9CC" w14:textId="77777777" w:rsidR="008C0EC2" w:rsidRPr="00391BFA" w:rsidRDefault="00000000">
      <w:pPr>
        <w:jc w:val="center"/>
        <w:rPr>
          <w:lang w:val="es-ES"/>
        </w:rPr>
      </w:pPr>
      <w:r w:rsidRPr="00391BFA">
        <w:rPr>
          <w:i/>
          <w:color w:val="555555"/>
          <w:sz w:val="17"/>
          <w:lang w:val="es-ES"/>
        </w:rPr>
        <w:t>Locus curado y evidencia de RNA-seq</w:t>
      </w:r>
    </w:p>
    <w:p w14:paraId="32A33749" w14:textId="77777777" w:rsidR="008C0EC2" w:rsidRPr="00391BFA" w:rsidRDefault="00000000">
      <w:pPr>
        <w:rPr>
          <w:lang w:val="es-ES"/>
        </w:rPr>
      </w:pPr>
      <w:r w:rsidRPr="00391BFA">
        <w:rPr>
          <w:b/>
          <w:lang w:val="es-ES"/>
        </w:rPr>
        <w:t>Lo que esto prueba, con tres afirmaciones separadas:</w:t>
      </w:r>
    </w:p>
    <w:p w14:paraId="3A8CACA2" w14:textId="77777777" w:rsidR="008C0EC2" w:rsidRPr="00391BFA" w:rsidRDefault="00000000">
      <w:pPr>
        <w:pStyle w:val="ListNumber"/>
        <w:rPr>
          <w:lang w:val="es-ES"/>
        </w:rPr>
      </w:pPr>
      <w:r w:rsidRPr="00391BFA">
        <w:rPr>
          <w:b/>
          <w:lang w:val="es-ES"/>
        </w:rPr>
        <w:t>El modelo curado está transcrito</w:t>
      </w:r>
      <w:r w:rsidRPr="00391BFA">
        <w:rPr>
          <w:lang w:val="es-ES"/>
        </w:rPr>
        <w:t>: 29 lecturas cruzan el intrón corregido con secuencia exacta.</w:t>
      </w:r>
    </w:p>
    <w:p w14:paraId="41C796C5" w14:textId="77777777" w:rsidR="008C0EC2" w:rsidRDefault="00000000">
      <w:pPr>
        <w:pStyle w:val="ListNumber"/>
      </w:pPr>
      <w:r w:rsidRPr="00391BFA">
        <w:rPr>
          <w:b/>
          <w:lang w:val="es-ES"/>
        </w:rPr>
        <w:t>El modelo del anotador es falso</w:t>
      </w:r>
      <w:r w:rsidRPr="00391BFA">
        <w:rPr>
          <w:lang w:val="es-ES"/>
        </w:rPr>
        <w:t xml:space="preserve">: cero lecturas, sobre 21,9 millones, soportan su unión. </w:t>
      </w:r>
      <w:r>
        <w:t>No es "poca evidencia": es ninguna.</w:t>
      </w:r>
    </w:p>
    <w:p w14:paraId="20EFEE31" w14:textId="77777777" w:rsidR="008C0EC2" w:rsidRPr="00391BFA" w:rsidRDefault="00000000">
      <w:pPr>
        <w:pStyle w:val="ListNumber"/>
        <w:rPr>
          <w:lang w:val="es-ES"/>
        </w:rPr>
      </w:pPr>
      <w:r w:rsidRPr="00391BFA">
        <w:rPr>
          <w:b/>
          <w:lang w:val="es-ES"/>
        </w:rPr>
        <w:t>El gen se expresa en PABB004</w:t>
      </w:r>
      <w:r w:rsidRPr="00391BFA">
        <w:rPr>
          <w:lang w:val="es-ES"/>
        </w:rPr>
        <w:t xml:space="preserve"> bajo condiciones de cultivo normales.</w:t>
      </w:r>
    </w:p>
    <w:p w14:paraId="2F91937C" w14:textId="77777777" w:rsidR="008C0EC2" w:rsidRPr="00391BFA" w:rsidRDefault="00000000">
      <w:pPr>
        <w:rPr>
          <w:lang w:val="es-ES"/>
        </w:rPr>
      </w:pPr>
      <w:r w:rsidRPr="00391BFA">
        <w:rPr>
          <w:lang w:val="es-ES"/>
        </w:rPr>
        <w:t>Esto convierte a la curación de una propuesta en un hecho documentado.</w:t>
      </w:r>
    </w:p>
    <w:p w14:paraId="7ED3D309" w14:textId="77777777" w:rsidR="008C0EC2" w:rsidRPr="00391BFA" w:rsidRDefault="00000000">
      <w:pPr>
        <w:rPr>
          <w:lang w:val="es-ES"/>
        </w:rPr>
      </w:pPr>
      <w:r w:rsidRPr="00391BFA">
        <w:rPr>
          <w:b/>
          <w:lang w:val="es-ES"/>
        </w:rPr>
        <w:lastRenderedPageBreak/>
        <w:t>Evidencia independiente, del propio trabajo original.</w:t>
      </w:r>
      <w:r w:rsidRPr="00391BFA">
        <w:rPr>
          <w:lang w:val="es-ES"/>
        </w:rPr>
        <w:t xml:space="preserve"> La búsqueda contra la base TSA (Transcriptome Shotgun Assembly) de algas verdes ya mostraba que el tramo de HText tiene transcriptos ensamblados en múltiples especies, y que la cobertura empieza alrededor del residuo 100 —consistente con que el extremo N-terminal del recorte manual era artefactual:</w:t>
      </w:r>
    </w:p>
    <w:p w14:paraId="1F53FC0E" w14:textId="77777777" w:rsidR="008C0EC2" w:rsidRDefault="00000000">
      <w:pPr>
        <w:jc w:val="center"/>
      </w:pPr>
      <w:r>
        <w:rPr>
          <w:noProof/>
        </w:rPr>
        <w:drawing>
          <wp:inline distT="0" distB="0" distL="0" distR="0" wp14:anchorId="05594BB0" wp14:editId="4DB95DA7">
            <wp:extent cx="5120640" cy="59667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a_HText_green_algae.png"/>
                    <pic:cNvPicPr/>
                  </pic:nvPicPr>
                  <pic:blipFill>
                    <a:blip r:embed="rId27"/>
                    <a:stretch>
                      <a:fillRect/>
                    </a:stretch>
                  </pic:blipFill>
                  <pic:spPr>
                    <a:xfrm>
                      <a:off x="0" y="0"/>
                      <a:ext cx="5120640" cy="5966722"/>
                    </a:xfrm>
                    <a:prstGeom prst="rect">
                      <a:avLst/>
                    </a:prstGeom>
                  </pic:spPr>
                </pic:pic>
              </a:graphicData>
            </a:graphic>
          </wp:inline>
        </w:drawing>
      </w:r>
    </w:p>
    <w:p w14:paraId="73F95B42" w14:textId="77777777" w:rsidR="008C0EC2" w:rsidRPr="00391BFA" w:rsidRDefault="00000000">
      <w:pPr>
        <w:jc w:val="center"/>
        <w:rPr>
          <w:lang w:val="es-ES"/>
        </w:rPr>
      </w:pPr>
      <w:r w:rsidRPr="00391BFA">
        <w:rPr>
          <w:i/>
          <w:color w:val="555555"/>
          <w:sz w:val="17"/>
          <w:lang w:val="es-ES"/>
        </w:rPr>
        <w:t>Alineamientos del tramo de HText contra TSA de algas verdes</w:t>
      </w:r>
    </w:p>
    <w:p w14:paraId="402ED954" w14:textId="77777777" w:rsidR="008C0EC2" w:rsidRPr="00391BFA" w:rsidRDefault="00000000">
      <w:pPr>
        <w:rPr>
          <w:lang w:val="es-ES"/>
        </w:rPr>
      </w:pPr>
      <w:r w:rsidRPr="00391BFA">
        <w:rPr>
          <w:b/>
          <w:lang w:val="es-ES"/>
        </w:rPr>
        <w:t>Un detalle de sintenia que vale la pena.</w:t>
      </w:r>
      <w:r w:rsidRPr="00391BFA">
        <w:rPr>
          <w:lang w:val="es-ES"/>
        </w:rPr>
        <w:t xml:space="preserve"> En </w:t>
      </w:r>
      <w:r w:rsidRPr="00391BFA">
        <w:rPr>
          <w:i/>
          <w:lang w:val="es-ES"/>
        </w:rPr>
        <w:t>Scenedesmus</w:t>
      </w:r>
      <w:r w:rsidRPr="00391BFA">
        <w:rPr>
          <w:lang w:val="es-ES"/>
        </w:rPr>
        <w:t xml:space="preserve"> sp. NREL 46B-D3, el gen SCLY (</w:t>
      </w:r>
      <w:r w:rsidRPr="00391BFA">
        <w:rPr>
          <w:rFonts w:ascii="Consolas" w:hAnsi="Consolas"/>
          <w:sz w:val="18"/>
          <w:lang w:val="es-ES"/>
        </w:rPr>
        <w:t>KAF6265975.1</w:t>
      </w:r>
      <w:r w:rsidRPr="00391BFA">
        <w:rPr>
          <w:lang w:val="es-ES"/>
        </w:rPr>
        <w:t xml:space="preserve">, 1.081.247–1.084.664) está a </w:t>
      </w:r>
      <w:r w:rsidRPr="00391BFA">
        <w:rPr>
          <w:b/>
          <w:lang w:val="es-ES"/>
        </w:rPr>
        <w:t>393 pb</w:t>
      </w:r>
      <w:r w:rsidRPr="00391BFA">
        <w:rPr>
          <w:lang w:val="es-ES"/>
        </w:rPr>
        <w:t xml:space="preserve"> del gen de histidinol deshidrogenasa (</w:t>
      </w:r>
      <w:r w:rsidRPr="00391BFA">
        <w:rPr>
          <w:rFonts w:ascii="Consolas" w:hAnsi="Consolas"/>
          <w:sz w:val="18"/>
          <w:lang w:val="es-ES"/>
        </w:rPr>
        <w:t>KAF6265974.1</w:t>
      </w:r>
      <w:r w:rsidRPr="00391BFA">
        <w:rPr>
          <w:lang w:val="es-ES"/>
        </w:rPr>
        <w:t xml:space="preserve">, 386 aa, 1.078.038–1.080.854). Y en PABB004, el ORF quimérico contiene justamente un dominio </w:t>
      </w:r>
      <w:r w:rsidRPr="00391BFA">
        <w:rPr>
          <w:b/>
          <w:lang w:val="es-ES"/>
        </w:rPr>
        <w:t>Histidinol_dh</w:t>
      </w:r>
      <w:r w:rsidRPr="00391BFA">
        <w:rPr>
          <w:lang w:val="es-ES"/>
        </w:rPr>
        <w:t xml:space="preserve"> inmediatamente antes del dominio de aminotransferasa. </w:t>
      </w:r>
      <w:r w:rsidRPr="00391BFA">
        <w:rPr>
          <w:b/>
          <w:lang w:val="es-ES"/>
        </w:rPr>
        <w:t>El anotador de PABB004 fusionó el mismo par de genes vecinos que en NREL están separados.</w:t>
      </w:r>
      <w:r w:rsidRPr="00391BFA">
        <w:rPr>
          <w:lang w:val="es-ES"/>
        </w:rPr>
        <w:t xml:space="preserve"> Eso explica mecánicamente el error.</w:t>
      </w:r>
    </w:p>
    <w:p w14:paraId="60544A26" w14:textId="77777777" w:rsidR="008C0EC2" w:rsidRPr="00391BFA" w:rsidRDefault="00000000">
      <w:pPr>
        <w:rPr>
          <w:lang w:val="es-ES"/>
        </w:rPr>
      </w:pPr>
      <w:r w:rsidRPr="00391BFA">
        <w:rPr>
          <w:b/>
          <w:lang w:val="es-ES"/>
        </w:rPr>
        <w:lastRenderedPageBreak/>
        <w:t>Lo que falta en este frente.</w:t>
      </w:r>
      <w:r w:rsidRPr="00391BFA">
        <w:rPr>
          <w:lang w:val="es-ES"/>
        </w:rPr>
        <w:t xml:space="preserve"> El extremo 5'. El ATG en 1.179.501 es el primer Met en marco, pero el modelo curado cubre a NREL recién desde su residuo 61 — faltan ~60 residuos N-terminales, en una región de baja complejidad Ala/Ser/Arg. Se resuelve con un ensamblado guiado (StringTie sobre el mismo run), y está pendiente.</w:t>
      </w:r>
    </w:p>
    <w:p w14:paraId="1CAD7D75" w14:textId="77777777" w:rsidR="008C0EC2" w:rsidRPr="00391BFA" w:rsidRDefault="008C0EC2">
      <w:pPr>
        <w:rPr>
          <w:lang w:val="es-ES"/>
        </w:rPr>
      </w:pPr>
    </w:p>
    <w:p w14:paraId="46B2A953" w14:textId="77777777" w:rsidR="008C0EC2" w:rsidRPr="00391BFA" w:rsidRDefault="00000000">
      <w:pPr>
        <w:pStyle w:val="Heading2"/>
        <w:rPr>
          <w:lang w:val="es-ES"/>
        </w:rPr>
      </w:pPr>
      <w:r w:rsidRPr="00391BFA">
        <w:rPr>
          <w:lang w:val="es-ES"/>
        </w:rPr>
        <w:t>2.14 — Tasas evolutivas relativas</w:t>
      </w:r>
    </w:p>
    <w:p w14:paraId="4F16BB5B" w14:textId="77777777" w:rsidR="008C0EC2" w:rsidRPr="00391BFA" w:rsidRDefault="00000000">
      <w:pPr>
        <w:rPr>
          <w:lang w:val="es-ES"/>
        </w:rPr>
      </w:pPr>
      <w:r w:rsidRPr="00391BFA">
        <w:rPr>
          <w:b/>
          <w:lang w:val="es-ES"/>
        </w:rPr>
        <w:t>Qué se hizo.</w:t>
      </w:r>
      <w:r w:rsidRPr="00391BFA">
        <w:rPr>
          <w:lang w:val="es-ES"/>
        </w:rPr>
        <w:t xml:space="preserve"> Sobre el mismo árbol de máxima verosimilitud del §2.7, se midió la </w:t>
      </w:r>
      <w:r w:rsidRPr="00391BFA">
        <w:rPr>
          <w:b/>
          <w:lang w:val="es-ES"/>
        </w:rPr>
        <w:t>distancia de cada hoja a la raíz de su propio clado</w:t>
      </w:r>
      <w:r w:rsidRPr="00391BFA">
        <w:rPr>
          <w:lang w:val="es-ES"/>
        </w:rPr>
        <w:t xml:space="preserve"> (longitud de rama acumulada, en sustituciones por sitio). Para eliminar el sesgo de muestreo —los tres clados no tienen las mismas especies— se restringió la comparación a las </w:t>
      </w:r>
      <w:r w:rsidRPr="00391BFA">
        <w:rPr>
          <w:b/>
          <w:lang w:val="es-ES"/>
        </w:rPr>
        <w:t>38 especies que tienen los tres genes</w:t>
      </w:r>
      <w:r w:rsidRPr="00391BFA">
        <w:rPr>
          <w:lang w:val="es-ES"/>
        </w:rPr>
        <w:t xml:space="preserve"> y se contrastó de a pares con el test de Wilcoxon pareado.</w:t>
      </w:r>
    </w:p>
    <w:p w14:paraId="361E629C" w14:textId="77777777" w:rsidR="008C0EC2" w:rsidRPr="00391BFA" w:rsidRDefault="00000000">
      <w:pPr>
        <w:rPr>
          <w:lang w:val="es-ES"/>
        </w:rPr>
      </w:pPr>
      <w:r w:rsidRPr="00391BFA">
        <w:rPr>
          <w:b/>
          <w:lang w:val="es-ES"/>
        </w:rPr>
        <w:t>Por qué así y no con dN/dS.</w:t>
      </w:r>
      <w:r w:rsidRPr="00391BFA">
        <w:rPr>
          <w:lang w:val="es-ES"/>
        </w:rPr>
        <w:t xml:space="preserve"> dN/dS requiere las secuencias </w:t>
      </w:r>
      <w:r w:rsidRPr="00391BFA">
        <w:rPr>
          <w:b/>
          <w:lang w:val="es-ES"/>
        </w:rPr>
        <w:t>codificantes</w:t>
      </w:r>
      <w:r w:rsidRPr="00391BFA">
        <w:rPr>
          <w:lang w:val="es-ES"/>
        </w:rPr>
        <w:t xml:space="preserve"> alineadas por codón para las 66+ proteínas, un árbol calibrado y PAML corriendo. Nada de eso existe en este proyecto. La distancia de rama sobre el alineamiento proteico que ya está construido es una medida de </w:t>
      </w:r>
      <w:r w:rsidRPr="00391BFA">
        <w:rPr>
          <w:b/>
          <w:lang w:val="es-ES"/>
        </w:rPr>
        <w:t>tasa relativa</w:t>
      </w:r>
      <w:r w:rsidRPr="00391BFA">
        <w:rPr>
          <w:lang w:val="es-ES"/>
        </w:rPr>
        <w:t xml:space="preserve"> legítima, y pareada por especie es un contraste limpio.</w:t>
      </w:r>
    </w:p>
    <w:p w14:paraId="46B9B843" w14:textId="77777777" w:rsidR="008C0EC2" w:rsidRDefault="00000000">
      <w:r>
        <w:rPr>
          <w:b/>
        </w:rPr>
        <w:t>Qué dio.</w:t>
      </w:r>
    </w:p>
    <w:tbl>
      <w:tblPr>
        <w:tblStyle w:val="LightGrid-Accent1"/>
        <w:tblW w:w="0" w:type="auto"/>
        <w:jc w:val="center"/>
        <w:tblLook w:val="04A0" w:firstRow="1" w:lastRow="0" w:firstColumn="1" w:lastColumn="0" w:noHBand="0" w:noVBand="1"/>
      </w:tblPr>
      <w:tblGrid>
        <w:gridCol w:w="4896"/>
        <w:gridCol w:w="4896"/>
      </w:tblGrid>
      <w:tr w:rsidR="008C0EC2" w14:paraId="566B9DB7"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DDEC804" w14:textId="77777777" w:rsidR="008C0EC2" w:rsidRDefault="00000000">
            <w:r>
              <w:rPr>
                <w:sz w:val="17"/>
              </w:rPr>
              <w:t>Clado</w:t>
            </w:r>
          </w:p>
        </w:tc>
        <w:tc>
          <w:tcPr>
            <w:tcW w:w="4896" w:type="dxa"/>
          </w:tcPr>
          <w:p w14:paraId="46AC2DF3"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Mediana (sust./sitio)</w:t>
            </w:r>
          </w:p>
        </w:tc>
      </w:tr>
      <w:tr w:rsidR="008C0EC2" w14:paraId="1B233EE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8E5888" w14:textId="77777777" w:rsidR="008C0EC2" w:rsidRDefault="00000000">
            <w:r>
              <w:rPr>
                <w:sz w:val="17"/>
              </w:rPr>
              <w:t>NFS1 / IscS (mitocondrial)</w:t>
            </w:r>
          </w:p>
        </w:tc>
        <w:tc>
          <w:tcPr>
            <w:tcW w:w="4896" w:type="dxa"/>
          </w:tcPr>
          <w:p w14:paraId="64E75E8D"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0,71</w:t>
            </w:r>
          </w:p>
        </w:tc>
      </w:tr>
      <w:tr w:rsidR="008C0EC2" w14:paraId="7086119C"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2304104" w14:textId="77777777" w:rsidR="008C0EC2" w:rsidRDefault="00000000">
            <w:r>
              <w:rPr>
                <w:sz w:val="17"/>
              </w:rPr>
              <w:t>NFS2 / SufS (plastidial)</w:t>
            </w:r>
          </w:p>
        </w:tc>
        <w:tc>
          <w:tcPr>
            <w:tcW w:w="4896" w:type="dxa"/>
          </w:tcPr>
          <w:p w14:paraId="003AF2ED"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1,10</w:t>
            </w:r>
          </w:p>
        </w:tc>
      </w:tr>
      <w:tr w:rsidR="008C0EC2" w14:paraId="26DBC75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25E919F" w14:textId="77777777" w:rsidR="008C0EC2" w:rsidRDefault="00000000">
            <w:r>
              <w:rPr>
                <w:sz w:val="17"/>
              </w:rPr>
              <w:t>SCLY-like (citosólico)</w:t>
            </w:r>
          </w:p>
        </w:tc>
        <w:tc>
          <w:tcPr>
            <w:tcW w:w="4896" w:type="dxa"/>
          </w:tcPr>
          <w:p w14:paraId="6105640A"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1,12</w:t>
            </w:r>
          </w:p>
        </w:tc>
      </w:tr>
    </w:tbl>
    <w:p w14:paraId="587A8003" w14:textId="77777777" w:rsidR="008C0EC2" w:rsidRDefault="008C0EC2"/>
    <w:tbl>
      <w:tblPr>
        <w:tblStyle w:val="LightGrid-Accent1"/>
        <w:tblW w:w="0" w:type="auto"/>
        <w:jc w:val="center"/>
        <w:tblLook w:val="04A0" w:firstRow="1" w:lastRow="0" w:firstColumn="1" w:lastColumn="0" w:noHBand="0" w:noVBand="1"/>
      </w:tblPr>
      <w:tblGrid>
        <w:gridCol w:w="3264"/>
        <w:gridCol w:w="3264"/>
        <w:gridCol w:w="3264"/>
      </w:tblGrid>
      <w:tr w:rsidR="008C0EC2" w14:paraId="5D31749E"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E8DCA27" w14:textId="77777777" w:rsidR="008C0EC2" w:rsidRDefault="00000000">
            <w:r>
              <w:rPr>
                <w:sz w:val="17"/>
              </w:rPr>
              <w:t>Contraste</w:t>
            </w:r>
          </w:p>
        </w:tc>
        <w:tc>
          <w:tcPr>
            <w:tcW w:w="3264" w:type="dxa"/>
          </w:tcPr>
          <w:p w14:paraId="50913CEB"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Wilcoxon pareado</w:t>
            </w:r>
          </w:p>
        </w:tc>
        <w:tc>
          <w:tcPr>
            <w:tcW w:w="3264" w:type="dxa"/>
          </w:tcPr>
          <w:p w14:paraId="6EDADBDC"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Diferencia mediana</w:t>
            </w:r>
          </w:p>
        </w:tc>
      </w:tr>
      <w:tr w:rsidR="008C0EC2" w14:paraId="31F1B3AF"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D53A83D" w14:textId="77777777" w:rsidR="008C0EC2" w:rsidRDefault="00000000">
            <w:r>
              <w:rPr>
                <w:sz w:val="17"/>
              </w:rPr>
              <w:t>SCLY vs NFS1</w:t>
            </w:r>
          </w:p>
        </w:tc>
        <w:tc>
          <w:tcPr>
            <w:tcW w:w="3264" w:type="dxa"/>
          </w:tcPr>
          <w:p w14:paraId="1D6A1A02"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p = 7 × 10⁻¹²</w:t>
            </w:r>
          </w:p>
        </w:tc>
        <w:tc>
          <w:tcPr>
            <w:tcW w:w="3264" w:type="dxa"/>
          </w:tcPr>
          <w:p w14:paraId="0A747D25"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+0,399</w:t>
            </w:r>
          </w:p>
        </w:tc>
      </w:tr>
      <w:tr w:rsidR="008C0EC2" w14:paraId="2CB20790"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086FFBE" w14:textId="77777777" w:rsidR="008C0EC2" w:rsidRDefault="00000000">
            <w:r>
              <w:rPr>
                <w:sz w:val="17"/>
              </w:rPr>
              <w:t>NFS2 vs NFS1</w:t>
            </w:r>
          </w:p>
        </w:tc>
        <w:tc>
          <w:tcPr>
            <w:tcW w:w="3264" w:type="dxa"/>
          </w:tcPr>
          <w:p w14:paraId="760DD43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p = 7 × 10⁻¹²</w:t>
            </w:r>
          </w:p>
        </w:tc>
        <w:tc>
          <w:tcPr>
            <w:tcW w:w="3264" w:type="dxa"/>
          </w:tcPr>
          <w:p w14:paraId="0B934B0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+0,393</w:t>
            </w:r>
          </w:p>
        </w:tc>
      </w:tr>
      <w:tr w:rsidR="008C0EC2" w14:paraId="0A006CD9"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4D8E5BF" w14:textId="77777777" w:rsidR="008C0EC2" w:rsidRDefault="00000000">
            <w:r>
              <w:rPr>
                <w:sz w:val="17"/>
              </w:rPr>
              <w:t>SCLY vs NFS2</w:t>
            </w:r>
          </w:p>
        </w:tc>
        <w:tc>
          <w:tcPr>
            <w:tcW w:w="3264" w:type="dxa"/>
          </w:tcPr>
          <w:p w14:paraId="4FF2A056"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p = 0,12</w:t>
            </w:r>
          </w:p>
        </w:tc>
        <w:tc>
          <w:tcPr>
            <w:tcW w:w="3264" w:type="dxa"/>
          </w:tcPr>
          <w:p w14:paraId="29FDD5D1"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−0,025</w:t>
            </w:r>
          </w:p>
        </w:tc>
      </w:tr>
    </w:tbl>
    <w:p w14:paraId="4D5C83F8" w14:textId="77777777" w:rsidR="008C0EC2" w:rsidRDefault="008C0EC2"/>
    <w:p w14:paraId="713F9157" w14:textId="77777777" w:rsidR="008C0EC2" w:rsidRDefault="00000000">
      <w:pPr>
        <w:jc w:val="center"/>
      </w:pPr>
      <w:r>
        <w:rPr>
          <w:noProof/>
        </w:rPr>
        <w:lastRenderedPageBreak/>
        <w:drawing>
          <wp:inline distT="0" distB="0" distL="0" distR="0" wp14:anchorId="5B4AAAC8" wp14:editId="5A868FB3">
            <wp:extent cx="5120640" cy="3842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as_relativas.png"/>
                    <pic:cNvPicPr/>
                  </pic:nvPicPr>
                  <pic:blipFill>
                    <a:blip r:embed="rId28"/>
                    <a:stretch>
                      <a:fillRect/>
                    </a:stretch>
                  </pic:blipFill>
                  <pic:spPr>
                    <a:xfrm>
                      <a:off x="0" y="0"/>
                      <a:ext cx="5120640" cy="3842275"/>
                    </a:xfrm>
                    <a:prstGeom prst="rect">
                      <a:avLst/>
                    </a:prstGeom>
                  </pic:spPr>
                </pic:pic>
              </a:graphicData>
            </a:graphic>
          </wp:inline>
        </w:drawing>
      </w:r>
    </w:p>
    <w:p w14:paraId="2EB7A50D" w14:textId="77777777" w:rsidR="008C0EC2" w:rsidRPr="00391BFA" w:rsidRDefault="00000000">
      <w:pPr>
        <w:jc w:val="center"/>
        <w:rPr>
          <w:lang w:val="es-ES"/>
        </w:rPr>
      </w:pPr>
      <w:r w:rsidRPr="00391BFA">
        <w:rPr>
          <w:i/>
          <w:color w:val="555555"/>
          <w:sz w:val="17"/>
          <w:lang w:val="es-ES"/>
        </w:rPr>
        <w:t>Tasas evolutivas relativas de las tres subfamilias</w:t>
      </w:r>
    </w:p>
    <w:p w14:paraId="5643B3AC" w14:textId="77777777" w:rsidR="008C0EC2" w:rsidRPr="00391BFA" w:rsidRDefault="00000000">
      <w:pPr>
        <w:rPr>
          <w:lang w:val="es-ES"/>
        </w:rPr>
      </w:pPr>
      <w:r w:rsidRPr="00391BFA">
        <w:rPr>
          <w:b/>
          <w:lang w:val="es-ES"/>
        </w:rPr>
        <w:t>Qué se concluye.</w:t>
      </w:r>
      <w:r w:rsidRPr="00391BFA">
        <w:rPr>
          <w:lang w:val="es-ES"/>
        </w:rPr>
        <w:t xml:space="preserve"> </w:t>
      </w:r>
      <w:r w:rsidRPr="00391BFA">
        <w:rPr>
          <w:b/>
          <w:lang w:val="es-ES"/>
        </w:rPr>
        <w:t>NFS1 está bajo restricción marcadamente más fuerte que las otras dos subfamilias.</w:t>
      </w:r>
      <w:r w:rsidRPr="00391BFA">
        <w:rPr>
          <w:lang w:val="es-ES"/>
        </w:rPr>
        <w:t xml:space="preserve"> Tiene sentido: NFS1 alimenta la vía ISC, de la que dependen los centros Fe-S de la cadena respiratoria y de enzimas esenciales; una mutación ahí es letal.</w:t>
      </w:r>
    </w:p>
    <w:p w14:paraId="7E50A00D" w14:textId="77777777" w:rsidR="008C0EC2" w:rsidRPr="00391BFA" w:rsidRDefault="00000000">
      <w:pPr>
        <w:rPr>
          <w:lang w:val="es-ES"/>
        </w:rPr>
      </w:pPr>
      <w:r w:rsidRPr="00391BFA">
        <w:rPr>
          <w:b/>
          <w:lang w:val="es-ES"/>
        </w:rPr>
        <w:t>Qué NO se concluye.</w:t>
      </w:r>
      <w:r w:rsidRPr="00391BFA">
        <w:rPr>
          <w:lang w:val="es-ES"/>
        </w:rPr>
        <w:t xml:space="preserve"> </w:t>
      </w:r>
      <w:r w:rsidRPr="00391BFA">
        <w:rPr>
          <w:b/>
          <w:lang w:val="es-ES"/>
        </w:rPr>
        <w:t>SCLY no evoluciona más rápido que NFS2</w:t>
      </w:r>
      <w:r w:rsidRPr="00391BFA">
        <w:rPr>
          <w:lang w:val="es-ES"/>
        </w:rPr>
        <w:t xml:space="preserve"> — p = 0,12, no se distinguen. Si en algún borrador se afirmó que SCLY es la menos restringida de las tres, es incorrecto: los datos no lo sostienen.</w:t>
      </w:r>
    </w:p>
    <w:p w14:paraId="7619195E" w14:textId="77777777" w:rsidR="008C0EC2" w:rsidRPr="00391BFA" w:rsidRDefault="00000000">
      <w:pPr>
        <w:rPr>
          <w:lang w:val="es-ES"/>
        </w:rPr>
      </w:pPr>
      <w:r w:rsidRPr="00391BFA">
        <w:rPr>
          <w:b/>
          <w:lang w:val="es-ES"/>
        </w:rPr>
        <w:t>Limitación.</w:t>
      </w:r>
      <w:r w:rsidRPr="00391BFA">
        <w:rPr>
          <w:lang w:val="es-ES"/>
        </w:rPr>
        <w:t xml:space="preserve"> Esto es tasa de sustitución proteica total, no </w:t>
      </w:r>
      <w:r>
        <w:t>ω</w:t>
      </w:r>
      <w:r w:rsidRPr="00391BFA">
        <w:rPr>
          <w:lang w:val="es-ES"/>
        </w:rPr>
        <w:t>. Una tasa más alta puede deberse a restricción más débil o a tasa de mutación más alta del locus; no se separan. Para separarlas hace falta el dN/dS real (ver §8).</w:t>
      </w:r>
    </w:p>
    <w:p w14:paraId="3BEF14B9" w14:textId="77777777" w:rsidR="008C0EC2" w:rsidRPr="00391BFA" w:rsidRDefault="008C0EC2">
      <w:pPr>
        <w:rPr>
          <w:lang w:val="es-ES"/>
        </w:rPr>
      </w:pPr>
    </w:p>
    <w:p w14:paraId="5DFAD47F" w14:textId="77777777" w:rsidR="008C0EC2" w:rsidRPr="00391BFA" w:rsidRDefault="00000000">
      <w:pPr>
        <w:pStyle w:val="Heading2"/>
        <w:rPr>
          <w:lang w:val="es-ES"/>
        </w:rPr>
      </w:pPr>
      <w:r w:rsidRPr="00391BFA">
        <w:rPr>
          <w:lang w:val="es-ES"/>
        </w:rPr>
        <w:t>2.15 — La hipótesis del selenio, puesta a prueba</w:t>
      </w:r>
    </w:p>
    <w:p w14:paraId="7AB6FD6D" w14:textId="77777777" w:rsidR="008C0EC2" w:rsidRDefault="00000000">
      <w:r w:rsidRPr="00391BFA">
        <w:rPr>
          <w:b/>
          <w:lang w:val="es-ES"/>
        </w:rPr>
        <w:t>La idea.</w:t>
      </w:r>
      <w:r w:rsidRPr="00391BFA">
        <w:rPr>
          <w:lang w:val="es-ES"/>
        </w:rPr>
        <w:t xml:space="preserve"> Si estas enzimas son selenocisteína liasas, su distribución debería correlacionar con la presencia de la maquinaria de incorporación de selenocisteína (Sec). Las plantas terrestres perdieron el selenoproteoma; también perdieron SCLY-like. </w:t>
      </w:r>
      <w:r>
        <w:t>¿Coincidencia o causa?</w:t>
      </w:r>
    </w:p>
    <w:p w14:paraId="59253103" w14:textId="77777777" w:rsidR="008C0EC2" w:rsidRDefault="00000000">
      <w:pPr>
        <w:jc w:val="center"/>
      </w:pPr>
      <w:r>
        <w:rPr>
          <w:noProof/>
        </w:rPr>
        <w:lastRenderedPageBreak/>
        <w:drawing>
          <wp:inline distT="0" distB="0" distL="0" distR="0" wp14:anchorId="7743A615" wp14:editId="79476E95">
            <wp:extent cx="5120640" cy="34052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b9514b4_viametabolyjustificacionperdidaenterrestres.png"/>
                    <pic:cNvPicPr/>
                  </pic:nvPicPr>
                  <pic:blipFill>
                    <a:blip r:embed="rId29"/>
                    <a:stretch>
                      <a:fillRect/>
                    </a:stretch>
                  </pic:blipFill>
                  <pic:spPr>
                    <a:xfrm>
                      <a:off x="0" y="0"/>
                      <a:ext cx="5120640" cy="3405226"/>
                    </a:xfrm>
                    <a:prstGeom prst="rect">
                      <a:avLst/>
                    </a:prstGeom>
                  </pic:spPr>
                </pic:pic>
              </a:graphicData>
            </a:graphic>
          </wp:inline>
        </w:drawing>
      </w:r>
    </w:p>
    <w:p w14:paraId="02D62805" w14:textId="77777777" w:rsidR="008C0EC2" w:rsidRPr="00391BFA" w:rsidRDefault="00000000">
      <w:pPr>
        <w:jc w:val="center"/>
        <w:rPr>
          <w:lang w:val="es-ES"/>
        </w:rPr>
      </w:pPr>
      <w:r w:rsidRPr="00391BFA">
        <w:rPr>
          <w:i/>
          <w:color w:val="555555"/>
          <w:sz w:val="17"/>
          <w:lang w:val="es-ES"/>
        </w:rPr>
        <w:t>Vía metabólica y justificación de la pérdida en plantas terrestres</w:t>
      </w:r>
    </w:p>
    <w:p w14:paraId="6CC9F8D1" w14:textId="77777777" w:rsidR="008C0EC2" w:rsidRPr="00391BFA" w:rsidRDefault="00000000">
      <w:pPr>
        <w:rPr>
          <w:lang w:val="es-ES"/>
        </w:rPr>
      </w:pPr>
      <w:r w:rsidRPr="00391BFA">
        <w:rPr>
          <w:b/>
          <w:lang w:val="es-ES"/>
        </w:rPr>
        <w:t>Qué se hizo.</w:t>
      </w:r>
      <w:r w:rsidRPr="00391BFA">
        <w:rPr>
          <w:lang w:val="es-ES"/>
        </w:rPr>
        <w:t xml:space="preserve"> Barrido de los cuatro marcadores de la maquinaria Sec humana —SEPHS2 (</w:t>
      </w:r>
      <w:r w:rsidRPr="00391BFA">
        <w:rPr>
          <w:rFonts w:ascii="Consolas" w:hAnsi="Consolas"/>
          <w:sz w:val="18"/>
          <w:lang w:val="es-ES"/>
        </w:rPr>
        <w:t>Q99611</w:t>
      </w:r>
      <w:r w:rsidRPr="00391BFA">
        <w:rPr>
          <w:lang w:val="es-ES"/>
        </w:rPr>
        <w:t>), SEPSECS (</w:t>
      </w:r>
      <w:r w:rsidRPr="00391BFA">
        <w:rPr>
          <w:rFonts w:ascii="Consolas" w:hAnsi="Consolas"/>
          <w:sz w:val="18"/>
          <w:lang w:val="es-ES"/>
        </w:rPr>
        <w:t>Q9HD40</w:t>
      </w:r>
      <w:r w:rsidRPr="00391BFA">
        <w:rPr>
          <w:lang w:val="es-ES"/>
        </w:rPr>
        <w:t>), PSTK (</w:t>
      </w:r>
      <w:r w:rsidRPr="00391BFA">
        <w:rPr>
          <w:rFonts w:ascii="Consolas" w:hAnsi="Consolas"/>
          <w:sz w:val="18"/>
          <w:lang w:val="es-ES"/>
        </w:rPr>
        <w:t>Q8IV42</w:t>
      </w:r>
      <w:r w:rsidRPr="00391BFA">
        <w:rPr>
          <w:lang w:val="es-ES"/>
        </w:rPr>
        <w:t>), EEFSEC (</w:t>
      </w:r>
      <w:r w:rsidRPr="00391BFA">
        <w:rPr>
          <w:rFonts w:ascii="Consolas" w:hAnsi="Consolas"/>
          <w:sz w:val="18"/>
          <w:lang w:val="es-ES"/>
        </w:rPr>
        <w:t>P57772</w:t>
      </w:r>
      <w:r w:rsidRPr="00391BFA">
        <w:rPr>
          <w:lang w:val="es-ES"/>
        </w:rPr>
        <w:t xml:space="preserve">)— contra los 119 proteomas, con </w:t>
      </w:r>
      <w:r w:rsidRPr="00391BFA">
        <w:rPr>
          <w:b/>
          <w:lang w:val="es-ES"/>
        </w:rPr>
        <w:t>mejor hit recíproco</w:t>
      </w:r>
      <w:r w:rsidRPr="00391BFA">
        <w:rPr>
          <w:lang w:val="es-ES"/>
        </w:rPr>
        <w:t xml:space="preserve"> (RBH) para evitar falsos positivos por homología de dominio. 919 hits, </w:t>
      </w:r>
      <w:r w:rsidRPr="00391BFA">
        <w:rPr>
          <w:b/>
          <w:lang w:val="es-ES"/>
        </w:rPr>
        <w:t>341 RBH</w:t>
      </w:r>
      <w:r w:rsidRPr="00391BFA">
        <w:rPr>
          <w:lang w:val="es-ES"/>
        </w:rPr>
        <w:t>.</w:t>
      </w:r>
    </w:p>
    <w:p w14:paraId="1B5B6231" w14:textId="77777777" w:rsidR="008C0EC2" w:rsidRPr="00391BFA" w:rsidRDefault="00000000">
      <w:pPr>
        <w:rPr>
          <w:lang w:val="es-ES"/>
        </w:rPr>
      </w:pPr>
      <w:r w:rsidRPr="00391BFA">
        <w:rPr>
          <w:b/>
          <w:lang w:val="es-ES"/>
        </w:rPr>
        <w:t>Por qué RBH.</w:t>
      </w:r>
      <w:r w:rsidRPr="00391BFA">
        <w:rPr>
          <w:lang w:val="es-ES"/>
        </w:rPr>
        <w:t xml:space="preserve"> Un hit unidireccional contra SEPHS2 puede ser cualquier selenofosfato sintetasa o incluso una SELD bacteriana. Exigir que el mejor hit del candidato de vuelta contra el proteoma humano sea el marcador original es el criterio mínimo de ortología.</w:t>
      </w:r>
    </w:p>
    <w:p w14:paraId="1BD2AA60" w14:textId="77777777" w:rsidR="008C0EC2" w:rsidRDefault="00000000">
      <w:r>
        <w:rPr>
          <w:b/>
        </w:rPr>
        <w:t>Qué dio.</w:t>
      </w:r>
    </w:p>
    <w:p w14:paraId="7BDEDDAB" w14:textId="77777777" w:rsidR="008C0EC2" w:rsidRPr="00391BFA" w:rsidRDefault="00000000">
      <w:pPr>
        <w:pStyle w:val="ListBullet"/>
        <w:rPr>
          <w:lang w:val="es-ES"/>
        </w:rPr>
      </w:pPr>
      <w:r w:rsidRPr="00391BFA">
        <w:rPr>
          <w:b/>
          <w:lang w:val="es-ES"/>
        </w:rPr>
        <w:t>Global: OR = 3,36, p = 0,0018.</w:t>
      </w:r>
      <w:r w:rsidRPr="00391BFA">
        <w:rPr>
          <w:lang w:val="es-ES"/>
        </w:rPr>
        <w:t xml:space="preserve"> Las especies con maquinaria Sec tienen más chances de tener SCLY-like.</w:t>
      </w:r>
    </w:p>
    <w:p w14:paraId="2FEADD30" w14:textId="77777777" w:rsidR="008C0EC2" w:rsidRPr="00391BFA" w:rsidRDefault="00000000">
      <w:pPr>
        <w:pStyle w:val="ListBullet"/>
        <w:rPr>
          <w:lang w:val="es-ES"/>
        </w:rPr>
      </w:pPr>
      <w:r w:rsidRPr="00391BFA">
        <w:rPr>
          <w:lang w:val="es-ES"/>
        </w:rPr>
        <w:t xml:space="preserve">Las 6 embriofitas: </w:t>
      </w:r>
      <w:r w:rsidRPr="00391BFA">
        <w:rPr>
          <w:b/>
          <w:lang w:val="es-ES"/>
        </w:rPr>
        <w:t>0 de 6 en los cuatro marcadores</w:t>
      </w:r>
      <w:r w:rsidRPr="00391BFA">
        <w:rPr>
          <w:lang w:val="es-ES"/>
        </w:rPr>
        <w:t>, y 0 de 6 en SCLY-like.</w:t>
      </w:r>
    </w:p>
    <w:p w14:paraId="60343BD9" w14:textId="77777777" w:rsidR="008C0EC2" w:rsidRPr="00391BFA" w:rsidRDefault="00000000">
      <w:pPr>
        <w:pStyle w:val="ListBullet"/>
        <w:rPr>
          <w:lang w:val="es-ES"/>
        </w:rPr>
      </w:pPr>
      <w:r w:rsidRPr="00391BFA">
        <w:rPr>
          <w:b/>
          <w:lang w:val="es-ES"/>
        </w:rPr>
        <w:t>Pero dentro de Chlorophyta: OR = 1,00, p = 1,00</w:t>
      </w:r>
      <w:r w:rsidRPr="00391BFA">
        <w:rPr>
          <w:lang w:val="es-ES"/>
        </w:rPr>
        <w:t xml:space="preserve"> (18 tienen ambas, 7 ninguna, 14 sólo SCLY, 9 sólo Sec).</w:t>
      </w:r>
    </w:p>
    <w:p w14:paraId="4EE8E3A0" w14:textId="77777777" w:rsidR="008C0EC2" w:rsidRDefault="00000000">
      <w:pPr>
        <w:pStyle w:val="ListBullet"/>
      </w:pPr>
      <w:r>
        <w:t>Diatomeas: OR = 3,67, p = 0,45.</w:t>
      </w:r>
    </w:p>
    <w:p w14:paraId="57714B43" w14:textId="77777777" w:rsidR="008C0EC2" w:rsidRPr="00391BFA" w:rsidRDefault="00000000">
      <w:pPr>
        <w:rPr>
          <w:lang w:val="es-ES"/>
        </w:rPr>
      </w:pPr>
      <w:r w:rsidRPr="00391BFA">
        <w:rPr>
          <w:b/>
          <w:lang w:val="es-ES"/>
        </w:rPr>
        <w:t>La interpretación correcta.</w:t>
      </w:r>
      <w:r w:rsidRPr="00391BFA">
        <w:rPr>
          <w:lang w:val="es-ES"/>
        </w:rPr>
        <w:t xml:space="preserve"> El efecto global </w:t>
      </w:r>
      <w:r w:rsidRPr="00391BFA">
        <w:rPr>
          <w:b/>
          <w:lang w:val="es-ES"/>
        </w:rPr>
        <w:t>es pseudorreplicación filogenética</w:t>
      </w:r>
      <w:r w:rsidRPr="00391BFA">
        <w:rPr>
          <w:lang w:val="es-ES"/>
        </w:rPr>
        <w:t>: lo genera la comparación entre linajes (embriofitas y rodofitas perdieron las dos cosas), no una asociación dentro de ellos. Cuando se controla por linaje, la asociación desaparece.</w:t>
      </w:r>
    </w:p>
    <w:p w14:paraId="306136E3" w14:textId="77777777" w:rsidR="008C0EC2" w:rsidRPr="00391BFA" w:rsidRDefault="00000000">
      <w:pPr>
        <w:rPr>
          <w:lang w:val="es-ES"/>
        </w:rPr>
      </w:pPr>
      <w:r w:rsidRPr="00391BFA">
        <w:rPr>
          <w:b/>
          <w:lang w:val="es-ES"/>
        </w:rPr>
        <w:t>Entonces se declara como hipótesis, no como resultado.</w:t>
      </w:r>
      <w:r w:rsidRPr="00391BFA">
        <w:rPr>
          <w:lang w:val="es-ES"/>
        </w:rPr>
        <w:t xml:space="preserve"> La co-pérdida de SCLY-like y de la maquinaria Sec en el camino a la tierra es </w:t>
      </w:r>
      <w:r w:rsidRPr="00391BFA">
        <w:rPr>
          <w:b/>
          <w:lang w:val="es-ES"/>
        </w:rPr>
        <w:t>consistente</w:t>
      </w:r>
      <w:r w:rsidRPr="00391BFA">
        <w:rPr>
          <w:lang w:val="es-ES"/>
        </w:rPr>
        <w:t xml:space="preserve"> con una relación funcional, y es una hipótesis atractiva. No está demostrada por estos datos. Para demostrarla hace falta un test que controle la filogenia (§8).</w:t>
      </w:r>
    </w:p>
    <w:p w14:paraId="1C836B5F" w14:textId="77777777" w:rsidR="008C0EC2" w:rsidRPr="00391BFA" w:rsidRDefault="00000000">
      <w:pPr>
        <w:rPr>
          <w:lang w:val="es-ES"/>
        </w:rPr>
      </w:pPr>
      <w:r w:rsidRPr="00391BFA">
        <w:rPr>
          <w:b/>
          <w:lang w:val="es-ES"/>
        </w:rPr>
        <w:t>Limitación técnica adicional.</w:t>
      </w:r>
      <w:r w:rsidRPr="00391BFA">
        <w:rPr>
          <w:lang w:val="es-ES"/>
        </w:rPr>
        <w:t xml:space="preserve"> PSTK se detecta mal: 28 de 48 en Chlorophyta, contra 43 de 48 de SEPSECS. PSTK es corta y divergente; el RBH la pierde. Usar PSTK como marcador de presencia/ausencia subestima.</w:t>
      </w:r>
    </w:p>
    <w:p w14:paraId="78BAEB3B" w14:textId="77777777" w:rsidR="008C0EC2" w:rsidRPr="00391BFA" w:rsidRDefault="008C0EC2">
      <w:pPr>
        <w:rPr>
          <w:lang w:val="es-ES"/>
        </w:rPr>
      </w:pPr>
    </w:p>
    <w:p w14:paraId="35DF40D4" w14:textId="77777777" w:rsidR="008C0EC2" w:rsidRDefault="00000000">
      <w:pPr>
        <w:pStyle w:val="Heading1"/>
      </w:pPr>
      <w:r>
        <w:lastRenderedPageBreak/>
        <w:t>3. Justificación de las herramientas</w:t>
      </w:r>
    </w:p>
    <w:tbl>
      <w:tblPr>
        <w:tblStyle w:val="LightGrid-Accent1"/>
        <w:tblW w:w="0" w:type="auto"/>
        <w:jc w:val="center"/>
        <w:tblLook w:val="04A0" w:firstRow="1" w:lastRow="0" w:firstColumn="1" w:lastColumn="0" w:noHBand="0" w:noVBand="1"/>
      </w:tblPr>
      <w:tblGrid>
        <w:gridCol w:w="2448"/>
        <w:gridCol w:w="2448"/>
        <w:gridCol w:w="2448"/>
        <w:gridCol w:w="2448"/>
      </w:tblGrid>
      <w:tr w:rsidR="008C0EC2" w14:paraId="2BE2806D"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0C6CB5F" w14:textId="77777777" w:rsidR="008C0EC2" w:rsidRDefault="00000000">
            <w:r>
              <w:rPr>
                <w:sz w:val="17"/>
              </w:rPr>
              <w:t>Herramienta</w:t>
            </w:r>
          </w:p>
        </w:tc>
        <w:tc>
          <w:tcPr>
            <w:tcW w:w="2448" w:type="dxa"/>
          </w:tcPr>
          <w:p w14:paraId="7574EADA"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Para qué se usó</w:t>
            </w:r>
          </w:p>
        </w:tc>
        <w:tc>
          <w:tcPr>
            <w:tcW w:w="2448" w:type="dxa"/>
          </w:tcPr>
          <w:p w14:paraId="2162AA41"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Por qué ésa</w:t>
            </w:r>
          </w:p>
        </w:tc>
        <w:tc>
          <w:tcPr>
            <w:tcW w:w="2448" w:type="dxa"/>
          </w:tcPr>
          <w:p w14:paraId="612A393B"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Qué no resuelve</w:t>
            </w:r>
          </w:p>
        </w:tc>
      </w:tr>
      <w:tr w:rsidR="008C0EC2" w:rsidRPr="00391BFA" w14:paraId="3E102207"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B658FF8" w14:textId="77777777" w:rsidR="008C0EC2" w:rsidRDefault="00000000">
            <w:r>
              <w:rPr>
                <w:sz w:val="17"/>
              </w:rPr>
              <w:t>BLASTp (NCBI)</w:t>
            </w:r>
          </w:p>
        </w:tc>
        <w:tc>
          <w:tcPr>
            <w:tcW w:w="2448" w:type="dxa"/>
          </w:tcPr>
          <w:p w14:paraId="7250E3AC"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pesca inicial de homólogos en un genoma</w:t>
            </w:r>
          </w:p>
        </w:tc>
        <w:tc>
          <w:tcPr>
            <w:tcW w:w="2448" w:type="dxa"/>
          </w:tcPr>
          <w:p w14:paraId="243B41BC"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rápido, estadística calibrada, sin modelo previo</w:t>
            </w:r>
          </w:p>
        </w:tc>
        <w:tc>
          <w:tcPr>
            <w:tcW w:w="2448" w:type="dxa"/>
          </w:tcPr>
          <w:p w14:paraId="105593B4"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hereda errores de anotación de la base; falla en homología remota</w:t>
            </w:r>
          </w:p>
        </w:tc>
      </w:tr>
      <w:tr w:rsidR="008C0EC2" w:rsidRPr="00391BFA" w14:paraId="7338DDD8"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BF644E2" w14:textId="77777777" w:rsidR="008C0EC2" w:rsidRDefault="00000000">
            <w:r>
              <w:rPr>
                <w:sz w:val="17"/>
              </w:rPr>
              <w:t>CD-Search (CDD)</w:t>
            </w:r>
          </w:p>
        </w:tc>
        <w:tc>
          <w:tcPr>
            <w:tcW w:w="2448" w:type="dxa"/>
          </w:tcPr>
          <w:p w14:paraId="01BD3985"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arquitectura de dominios del ORF de 3383 aa</w:t>
            </w:r>
          </w:p>
        </w:tc>
        <w:tc>
          <w:tcPr>
            <w:tcW w:w="2448" w:type="dxa"/>
          </w:tcPr>
          <w:p w14:paraId="53544542"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devuelve bloques con coordenadas y E-value, no sólo similitud global</w:t>
            </w:r>
          </w:p>
        </w:tc>
        <w:tc>
          <w:tcPr>
            <w:tcW w:w="2448" w:type="dxa"/>
          </w:tcPr>
          <w:p w14:paraId="62F1D9AE"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no corrige el modelo génico</w:t>
            </w:r>
          </w:p>
        </w:tc>
      </w:tr>
      <w:tr w:rsidR="008C0EC2" w:rsidRPr="00391BFA" w14:paraId="58BE6D88"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7A3AE6A" w14:textId="77777777" w:rsidR="008C0EC2" w:rsidRDefault="00000000">
            <w:r>
              <w:rPr>
                <w:sz w:val="17"/>
              </w:rPr>
              <w:t>phmmer / hmmsearch (HMMER)</w:t>
            </w:r>
          </w:p>
        </w:tc>
        <w:tc>
          <w:tcPr>
            <w:tcW w:w="2448" w:type="dxa"/>
          </w:tcPr>
          <w:p w14:paraId="0D66F798"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barrido de 119 proteomas; extracción de PF00266</w:t>
            </w:r>
          </w:p>
        </w:tc>
        <w:tc>
          <w:tcPr>
            <w:tcW w:w="2448" w:type="dxa"/>
          </w:tcPr>
          <w:p w14:paraId="423548F4"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perfiles probabilísticos: más sensible que BLASTp a 25–40 % de identidad; Z fijable para comparabilidad entre proteomas</w:t>
            </w:r>
          </w:p>
        </w:tc>
        <w:tc>
          <w:tcPr>
            <w:tcW w:w="2448" w:type="dxa"/>
          </w:tcPr>
          <w:p w14:paraId="113C7E1A"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no distingue subfamilias — para eso hizo falta el bucle</w:t>
            </w:r>
          </w:p>
        </w:tc>
      </w:tr>
      <w:tr w:rsidR="008C0EC2" w:rsidRPr="00391BFA" w14:paraId="699EFC1D"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C7CDC31" w14:textId="77777777" w:rsidR="008C0EC2" w:rsidRDefault="00000000">
            <w:r>
              <w:rPr>
                <w:sz w:val="17"/>
              </w:rPr>
              <w:t>Proteomas de referencia UniProt</w:t>
            </w:r>
          </w:p>
        </w:tc>
        <w:tc>
          <w:tcPr>
            <w:tcW w:w="2448" w:type="dxa"/>
          </w:tcPr>
          <w:p w14:paraId="7D17F8D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universo de búsqueda</w:t>
            </w:r>
          </w:p>
        </w:tc>
        <w:tc>
          <w:tcPr>
            <w:tcW w:w="2448" w:type="dxa"/>
          </w:tcPr>
          <w:p w14:paraId="1BB28DC0"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uno por especie, no redundante, anotación estable</w:t>
            </w:r>
          </w:p>
        </w:tc>
        <w:tc>
          <w:tcPr>
            <w:tcW w:w="2448" w:type="dxa"/>
          </w:tcPr>
          <w:p w14:paraId="2BF4CE66"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ausencia en el proteoma ≠ ausencia en el genoma</w:t>
            </w:r>
          </w:p>
        </w:tc>
      </w:tr>
      <w:tr w:rsidR="008C0EC2" w14:paraId="5E23C9F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33AD54E" w14:textId="77777777" w:rsidR="008C0EC2" w:rsidRDefault="00000000">
            <w:r>
              <w:rPr>
                <w:sz w:val="17"/>
              </w:rPr>
              <w:t>FAMSA</w:t>
            </w:r>
          </w:p>
        </w:tc>
        <w:tc>
          <w:tcPr>
            <w:tcW w:w="2448" w:type="dxa"/>
          </w:tcPr>
          <w:p w14:paraId="5315D2F9"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alineamiento múltiple de 617 dominios</w:t>
            </w:r>
          </w:p>
        </w:tc>
        <w:tc>
          <w:tcPr>
            <w:tcW w:w="2448" w:type="dxa"/>
          </w:tcPr>
          <w:p w14:paraId="074B78CC"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escala a cientos de secuencias divergentes sin el costo de MAFFT L-INS-i</w:t>
            </w:r>
          </w:p>
        </w:tc>
        <w:tc>
          <w:tcPr>
            <w:tcW w:w="2448" w:type="dxa"/>
          </w:tcPr>
          <w:p w14:paraId="7565D185"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w:t>
            </w:r>
          </w:p>
        </w:tc>
      </w:tr>
      <w:tr w:rsidR="008C0EC2" w:rsidRPr="00391BFA" w14:paraId="2C518A66"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E08AD54" w14:textId="77777777" w:rsidR="008C0EC2" w:rsidRDefault="00000000">
            <w:r>
              <w:rPr>
                <w:sz w:val="17"/>
              </w:rPr>
              <w:t>Filtro de ocupación ≥ 0,35</w:t>
            </w:r>
          </w:p>
        </w:tc>
        <w:tc>
          <w:tcPr>
            <w:tcW w:w="2448" w:type="dxa"/>
          </w:tcPr>
          <w:p w14:paraId="4DEE2EC1"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386 de 768 columnas retenidas</w:t>
            </w:r>
          </w:p>
        </w:tc>
        <w:tc>
          <w:tcPr>
            <w:tcW w:w="2448" w:type="dxa"/>
          </w:tcPr>
          <w:p w14:paraId="458487A4"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columnas con mayoría de gaps aportan ruido, no señal</w:t>
            </w:r>
          </w:p>
        </w:tc>
        <w:tc>
          <w:tcPr>
            <w:tcW w:w="2448" w:type="dxa"/>
          </w:tcPr>
          <w:p w14:paraId="08547D24"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descarta información en regiones variables</w:t>
            </w:r>
          </w:p>
        </w:tc>
      </w:tr>
      <w:tr w:rsidR="008C0EC2" w:rsidRPr="00391BFA" w14:paraId="3B9C046D"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F3726FF" w14:textId="77777777" w:rsidR="008C0EC2" w:rsidRDefault="00000000">
            <w:r>
              <w:rPr>
                <w:sz w:val="17"/>
              </w:rPr>
              <w:t>VeryFastTree (LG+Γ, 1000 réplicas)</w:t>
            </w:r>
          </w:p>
        </w:tc>
        <w:tc>
          <w:tcPr>
            <w:tcW w:w="2448" w:type="dxa"/>
          </w:tcPr>
          <w:p w14:paraId="11DFEA78"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árbol de máxima verosimilitud</w:t>
            </w:r>
          </w:p>
        </w:tc>
        <w:tc>
          <w:tcPr>
            <w:tcW w:w="2448" w:type="dxa"/>
          </w:tcPr>
          <w:p w14:paraId="5632AB4D"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para 617 secuencias y una pregunta de monofilia, da el mismo resultado que RAxML/IQ-TREE en órdenes de magnitud menos tiempo</w:t>
            </w:r>
          </w:p>
        </w:tc>
        <w:tc>
          <w:tcPr>
            <w:tcW w:w="2448" w:type="dxa"/>
          </w:tcPr>
          <w:p w14:paraId="70E27B2B"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topología interna fina menos confiable (NFS1 soporte 0,79)</w:t>
            </w:r>
          </w:p>
        </w:tc>
      </w:tr>
      <w:tr w:rsidR="008C0EC2" w:rsidRPr="00391BFA" w14:paraId="44931296"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B62A156" w14:textId="77777777" w:rsidR="008C0EC2" w:rsidRDefault="00000000">
            <w:r>
              <w:rPr>
                <w:sz w:val="17"/>
              </w:rPr>
              <w:t>Bucle catalítico</w:t>
            </w:r>
          </w:p>
        </w:tc>
        <w:tc>
          <w:tcPr>
            <w:tcW w:w="2448" w:type="dxa"/>
          </w:tcPr>
          <w:p w14:paraId="41D454FB"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criterio primario de asignación de familia</w:t>
            </w:r>
          </w:p>
        </w:tc>
        <w:tc>
          <w:tcPr>
            <w:tcW w:w="2448" w:type="dxa"/>
          </w:tcPr>
          <w:p w14:paraId="09CCFB0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carácter discreto con respaldo bioquímico; no depende de bases ni de alineamiento global</w:t>
            </w:r>
          </w:p>
        </w:tc>
        <w:tc>
          <w:tcPr>
            <w:tcW w:w="2448" w:type="dxa"/>
          </w:tcPr>
          <w:p w14:paraId="17C6E6DB"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requiere que la secuencia cubra el sitio activo</w:t>
            </w:r>
          </w:p>
        </w:tc>
      </w:tr>
      <w:tr w:rsidR="008C0EC2" w:rsidRPr="00391BFA" w14:paraId="62379EE5"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93CD2B7" w14:textId="77777777" w:rsidR="008C0EC2" w:rsidRDefault="00000000">
            <w:r>
              <w:rPr>
                <w:sz w:val="17"/>
              </w:rPr>
              <w:t>AlphaFold2 / AlphaFold DB</w:t>
            </w:r>
          </w:p>
        </w:tc>
        <w:tc>
          <w:tcPr>
            <w:tcW w:w="2448" w:type="dxa"/>
          </w:tcPr>
          <w:p w14:paraId="0D6CA89A"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modelos estructurales</w:t>
            </w:r>
          </w:p>
        </w:tc>
        <w:tc>
          <w:tcPr>
            <w:tcW w:w="2448" w:type="dxa"/>
          </w:tcPr>
          <w:p w14:paraId="1C8CC19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único método que da estructura para proteínas sin cristal; pLDDT permite descartar regiones basura</w:t>
            </w:r>
          </w:p>
        </w:tc>
        <w:tc>
          <w:tcPr>
            <w:tcW w:w="2448" w:type="dxa"/>
          </w:tcPr>
          <w:p w14:paraId="5EEA6BD4"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modela bucles flexibles en una conformación arbitraria — ver §2.11</w:t>
            </w:r>
          </w:p>
        </w:tc>
      </w:tr>
      <w:tr w:rsidR="008C0EC2" w:rsidRPr="00391BFA" w14:paraId="692B8E7D"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AD7B334" w14:textId="77777777" w:rsidR="008C0EC2" w:rsidRDefault="00000000">
            <w:r>
              <w:rPr>
                <w:sz w:val="17"/>
              </w:rPr>
              <w:t>TM-align</w:t>
            </w:r>
          </w:p>
        </w:tc>
        <w:tc>
          <w:tcPr>
            <w:tcW w:w="2448" w:type="dxa"/>
          </w:tcPr>
          <w:p w14:paraId="1002769C"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superposición estructural y transferencia de ligando</w:t>
            </w:r>
          </w:p>
        </w:tc>
        <w:tc>
          <w:tcPr>
            <w:tcW w:w="2448" w:type="dxa"/>
          </w:tcPr>
          <w:p w14:paraId="498CF24C"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alineamiento estructural independiente de secuencia; TM-score normalizado por longitud</w:t>
            </w:r>
          </w:p>
        </w:tc>
        <w:tc>
          <w:tcPr>
            <w:tcW w:w="2448" w:type="dxa"/>
          </w:tcPr>
          <w:p w14:paraId="3F382D38"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TM-score global no discrimina subfamilias de un mismo fold</w:t>
            </w:r>
          </w:p>
        </w:tc>
      </w:tr>
      <w:tr w:rsidR="008C0EC2" w:rsidRPr="00391BFA" w14:paraId="20591E5F"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70646BF" w14:textId="77777777" w:rsidR="008C0EC2" w:rsidRDefault="00000000">
            <w:r>
              <w:rPr>
                <w:sz w:val="17"/>
              </w:rPr>
              <w:t>PDB `3A9Z`, `1KMK`, `1P3W`</w:t>
            </w:r>
          </w:p>
        </w:tc>
        <w:tc>
          <w:tcPr>
            <w:tcW w:w="2448" w:type="dxa"/>
          </w:tcPr>
          <w:p w14:paraId="56D4F875"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posiciones experimentales de PLP y sustrato</w:t>
            </w:r>
          </w:p>
        </w:tc>
        <w:tc>
          <w:tcPr>
            <w:tcW w:w="2448" w:type="dxa"/>
          </w:tcPr>
          <w:p w14:paraId="434C8FFF"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densidad electrónica real en vez de predicción de pose</w:t>
            </w:r>
          </w:p>
        </w:tc>
        <w:tc>
          <w:tcPr>
            <w:tcW w:w="2448" w:type="dxa"/>
          </w:tcPr>
          <w:p w14:paraId="6B3D0E43"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el ligando viene de otra especie, en otro estado conformacional</w:t>
            </w:r>
          </w:p>
        </w:tc>
      </w:tr>
      <w:tr w:rsidR="008C0EC2" w14:paraId="06EB4425"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5EEEA12" w14:textId="77777777" w:rsidR="008C0EC2" w:rsidRDefault="00000000">
            <w:r>
              <w:rPr>
                <w:sz w:val="17"/>
              </w:rPr>
              <w:t>DeepLoc 2.1</w:t>
            </w:r>
          </w:p>
        </w:tc>
        <w:tc>
          <w:tcPr>
            <w:tcW w:w="2448" w:type="dxa"/>
          </w:tcPr>
          <w:p w14:paraId="099679ED"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compartimento subcelular</w:t>
            </w:r>
          </w:p>
        </w:tc>
        <w:tc>
          <w:tcPr>
            <w:tcW w:w="2448" w:type="dxa"/>
          </w:tcPr>
          <w:p w14:paraId="6CD03437"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estado del arte en predicción multicompartimento</w:t>
            </w:r>
          </w:p>
        </w:tc>
        <w:tc>
          <w:tcPr>
            <w:tcW w:w="2448" w:type="dxa"/>
          </w:tcPr>
          <w:p w14:paraId="0A7007E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falló 2 de 7 controles — ver §2.10</w:t>
            </w:r>
          </w:p>
        </w:tc>
      </w:tr>
      <w:tr w:rsidR="008C0EC2" w:rsidRPr="00391BFA" w14:paraId="41842715"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AA1E728" w14:textId="77777777" w:rsidR="008C0EC2" w:rsidRDefault="00000000">
            <w:r>
              <w:rPr>
                <w:sz w:val="17"/>
              </w:rPr>
              <w:t>TargetP 2.0 (Plant)</w:t>
            </w:r>
          </w:p>
        </w:tc>
        <w:tc>
          <w:tcPr>
            <w:tcW w:w="2448" w:type="dxa"/>
          </w:tcPr>
          <w:p w14:paraId="002DA75A"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mTP vs cTP</w:t>
            </w:r>
          </w:p>
        </w:tc>
        <w:tc>
          <w:tcPr>
            <w:tcW w:w="2448" w:type="dxa"/>
          </w:tcPr>
          <w:p w14:paraId="7279D58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único que separa tránsito mitocondrial de plastidial en plantas/algas</w:t>
            </w:r>
          </w:p>
        </w:tc>
        <w:tc>
          <w:tcPr>
            <w:tcW w:w="2448" w:type="dxa"/>
          </w:tcPr>
          <w:p w14:paraId="4702625B"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falló los dos controles de PABB004</w:t>
            </w:r>
          </w:p>
        </w:tc>
      </w:tr>
      <w:tr w:rsidR="008C0EC2" w14:paraId="121283BB"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5DC2B4C" w14:textId="77777777" w:rsidR="008C0EC2" w:rsidRDefault="00000000">
            <w:r>
              <w:rPr>
                <w:sz w:val="17"/>
              </w:rPr>
              <w:t>SignalP 6.0 / DeepTMHMM</w:t>
            </w:r>
          </w:p>
        </w:tc>
        <w:tc>
          <w:tcPr>
            <w:tcW w:w="2448" w:type="dxa"/>
          </w:tcPr>
          <w:p w14:paraId="6A75ADD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descartar secretoria y transmembrana</w:t>
            </w:r>
          </w:p>
        </w:tc>
        <w:tc>
          <w:tcPr>
            <w:tcW w:w="2448" w:type="dxa"/>
          </w:tcPr>
          <w:p w14:paraId="3F9B09E4"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preguntas acotadas donde estos predictores son fiables</w:t>
            </w:r>
          </w:p>
        </w:tc>
        <w:tc>
          <w:tcPr>
            <w:tcW w:w="2448" w:type="dxa"/>
          </w:tcPr>
          <w:p w14:paraId="39D7422D"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w:t>
            </w:r>
          </w:p>
        </w:tc>
      </w:tr>
      <w:tr w:rsidR="008C0EC2" w14:paraId="33701AA6"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B544611" w14:textId="77777777" w:rsidR="008C0EC2" w:rsidRDefault="00000000">
            <w:r>
              <w:rPr>
                <w:sz w:val="17"/>
              </w:rPr>
              <w:t>Panel de control de destino conocido</w:t>
            </w:r>
          </w:p>
        </w:tc>
        <w:tc>
          <w:tcPr>
            <w:tcW w:w="2448" w:type="dxa"/>
          </w:tcPr>
          <w:p w14:paraId="1B10EFAA"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calibrar los predictores</w:t>
            </w:r>
          </w:p>
        </w:tc>
        <w:tc>
          <w:tcPr>
            <w:tcW w:w="2448" w:type="dxa"/>
          </w:tcPr>
          <w:p w14:paraId="73C71F67"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sin esto, el artefacto del §2.4 habría quedado en el paper</w:t>
            </w:r>
          </w:p>
        </w:tc>
        <w:tc>
          <w:tcPr>
            <w:tcW w:w="2448" w:type="dxa"/>
          </w:tcPr>
          <w:p w14:paraId="390C99A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w:t>
            </w:r>
          </w:p>
        </w:tc>
      </w:tr>
      <w:tr w:rsidR="008C0EC2" w:rsidRPr="00391BFA" w14:paraId="74E1A60A"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BB30DD" w14:textId="77777777" w:rsidR="008C0EC2" w:rsidRPr="00391BFA" w:rsidRDefault="00000000">
            <w:pPr>
              <w:rPr>
                <w:lang w:val="es-ES"/>
              </w:rPr>
            </w:pPr>
            <w:r w:rsidRPr="00391BFA">
              <w:rPr>
                <w:sz w:val="17"/>
                <w:lang w:val="es-ES"/>
              </w:rPr>
              <w:t>Entropía de Shannon por familia</w:t>
            </w:r>
          </w:p>
        </w:tc>
        <w:tc>
          <w:tcPr>
            <w:tcW w:w="2448" w:type="dxa"/>
          </w:tcPr>
          <w:p w14:paraId="1E4E70F8"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conservación y posiciones discriminantes</w:t>
            </w:r>
          </w:p>
        </w:tc>
        <w:tc>
          <w:tcPr>
            <w:tcW w:w="2448" w:type="dxa"/>
          </w:tcPr>
          <w:p w14:paraId="4250961D"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responde la pregunta real ("qué distingue a SCLY de NFS") que ConSurf no responde</w:t>
            </w:r>
          </w:p>
        </w:tc>
        <w:tc>
          <w:tcPr>
            <w:tcW w:w="2448" w:type="dxa"/>
          </w:tcPr>
          <w:p w14:paraId="289B9CF8"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necesita alineamientos limpios de las tres familias</w:t>
            </w:r>
          </w:p>
        </w:tc>
      </w:tr>
      <w:tr w:rsidR="008C0EC2" w:rsidRPr="00391BFA" w14:paraId="44CF7A19"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FABC692" w14:textId="77777777" w:rsidR="008C0EC2" w:rsidRPr="00391BFA" w:rsidRDefault="00000000">
            <w:pPr>
              <w:rPr>
                <w:lang w:val="es-ES"/>
              </w:rPr>
            </w:pPr>
            <w:r w:rsidRPr="00391BFA">
              <w:rPr>
                <w:sz w:val="17"/>
                <w:lang w:val="es-ES"/>
              </w:rPr>
              <w:t>Conteo de k-meros de unión en lecturas crudas</w:t>
            </w:r>
          </w:p>
        </w:tc>
        <w:tc>
          <w:tcPr>
            <w:tcW w:w="2448" w:type="dxa"/>
          </w:tcPr>
          <w:p w14:paraId="4BED891C"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validar la curación del gen</w:t>
            </w:r>
          </w:p>
        </w:tc>
        <w:tc>
          <w:tcPr>
            <w:tcW w:w="2448" w:type="dxa"/>
          </w:tcPr>
          <w:p w14:paraId="72B1C83E"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un k-mero de 32 nt que cruza una unión sólo existe en ARN maduro; coincidencia exacta, sin ambigüedad de mapeo</w:t>
            </w:r>
          </w:p>
        </w:tc>
        <w:tc>
          <w:tcPr>
            <w:tcW w:w="2448" w:type="dxa"/>
          </w:tcPr>
          <w:p w14:paraId="295BE0E5"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no reconstruye el gen completo — no da el extremo 5'</w:t>
            </w:r>
          </w:p>
        </w:tc>
      </w:tr>
      <w:tr w:rsidR="008C0EC2" w:rsidRPr="00391BFA" w14:paraId="18C27A8F"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68BE0CE" w14:textId="77777777" w:rsidR="008C0EC2" w:rsidRDefault="00000000">
            <w:r>
              <w:rPr>
                <w:sz w:val="17"/>
              </w:rPr>
              <w:t>Mejor hit recíproco (RBH)</w:t>
            </w:r>
          </w:p>
        </w:tc>
        <w:tc>
          <w:tcPr>
            <w:tcW w:w="2448" w:type="dxa"/>
          </w:tcPr>
          <w:p w14:paraId="1F3C22DE"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ortología de la maquinaria Sec</w:t>
            </w:r>
          </w:p>
        </w:tc>
        <w:tc>
          <w:tcPr>
            <w:tcW w:w="2448" w:type="dxa"/>
          </w:tcPr>
          <w:p w14:paraId="611264EE"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criterio mínimo de ortología; descarta parálogos de dominio compartido</w:t>
            </w:r>
          </w:p>
        </w:tc>
        <w:tc>
          <w:tcPr>
            <w:tcW w:w="2448" w:type="dxa"/>
          </w:tcPr>
          <w:p w14:paraId="19B6E6D7"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pierde proteínas cortas y divergentes (PSTK)</w:t>
            </w:r>
          </w:p>
        </w:tc>
      </w:tr>
      <w:tr w:rsidR="008C0EC2" w:rsidRPr="00391BFA" w14:paraId="1CB4298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7E4791E" w14:textId="77777777" w:rsidR="008C0EC2" w:rsidRDefault="00000000">
            <w:r>
              <w:rPr>
                <w:sz w:val="17"/>
              </w:rPr>
              <w:t>Wilcoxon pareado sobre distancias de rama</w:t>
            </w:r>
          </w:p>
        </w:tc>
        <w:tc>
          <w:tcPr>
            <w:tcW w:w="2448" w:type="dxa"/>
          </w:tcPr>
          <w:p w14:paraId="13076472"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tasas evolutivas relativas</w:t>
            </w:r>
          </w:p>
        </w:tc>
        <w:tc>
          <w:tcPr>
            <w:tcW w:w="2448" w:type="dxa"/>
          </w:tcPr>
          <w:p w14:paraId="1DA5164C"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pareado por especie, elimina el sesgo de muestreo entre clados</w:t>
            </w:r>
          </w:p>
        </w:tc>
        <w:tc>
          <w:tcPr>
            <w:tcW w:w="2448" w:type="dxa"/>
          </w:tcPr>
          <w:p w14:paraId="615533E1"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 xml:space="preserve">no separa restricción de tasa de mutación — no es </w:t>
            </w:r>
            <w:r>
              <w:rPr>
                <w:sz w:val="17"/>
              </w:rPr>
              <w:t>ω</w:t>
            </w:r>
          </w:p>
        </w:tc>
      </w:tr>
    </w:tbl>
    <w:p w14:paraId="46A95A36" w14:textId="77777777" w:rsidR="008C0EC2" w:rsidRPr="00391BFA" w:rsidRDefault="008C0EC2">
      <w:pPr>
        <w:rPr>
          <w:lang w:val="es-ES"/>
        </w:rPr>
      </w:pPr>
    </w:p>
    <w:p w14:paraId="69F6985D" w14:textId="77777777" w:rsidR="008C0EC2" w:rsidRPr="00391BFA" w:rsidRDefault="008C0EC2">
      <w:pPr>
        <w:rPr>
          <w:lang w:val="es-ES"/>
        </w:rPr>
      </w:pPr>
    </w:p>
    <w:p w14:paraId="34402451" w14:textId="77777777" w:rsidR="008C0EC2" w:rsidRDefault="00000000">
      <w:pPr>
        <w:pStyle w:val="Heading1"/>
      </w:pPr>
      <w:r>
        <w:t>4. Tabla maestra de números</w:t>
      </w:r>
    </w:p>
    <w:tbl>
      <w:tblPr>
        <w:tblStyle w:val="LightGrid-Accent1"/>
        <w:tblW w:w="0" w:type="auto"/>
        <w:jc w:val="center"/>
        <w:tblLook w:val="04A0" w:firstRow="1" w:lastRow="0" w:firstColumn="1" w:lastColumn="0" w:noHBand="0" w:noVBand="1"/>
      </w:tblPr>
      <w:tblGrid>
        <w:gridCol w:w="4896"/>
        <w:gridCol w:w="4896"/>
      </w:tblGrid>
      <w:tr w:rsidR="008C0EC2" w14:paraId="2A97519C"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BBE0CEC" w14:textId="77777777" w:rsidR="008C0EC2" w:rsidRDefault="00000000">
            <w:r>
              <w:rPr>
                <w:sz w:val="17"/>
              </w:rPr>
              <w:t>Dato</w:t>
            </w:r>
          </w:p>
        </w:tc>
        <w:tc>
          <w:tcPr>
            <w:tcW w:w="4896" w:type="dxa"/>
          </w:tcPr>
          <w:p w14:paraId="650276E0"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Valor</w:t>
            </w:r>
          </w:p>
        </w:tc>
      </w:tr>
      <w:tr w:rsidR="008C0EC2" w14:paraId="3A0CB86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22862C" w14:textId="77777777" w:rsidR="008C0EC2" w:rsidRDefault="00000000">
            <w:r>
              <w:rPr>
                <w:sz w:val="17"/>
              </w:rPr>
              <w:t>Proteomas de referencia barridos</w:t>
            </w:r>
          </w:p>
        </w:tc>
        <w:tc>
          <w:tcPr>
            <w:tcW w:w="4896" w:type="dxa"/>
          </w:tcPr>
          <w:p w14:paraId="6981F7CF"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119 (107 algales + 12 de contraste)</w:t>
            </w:r>
          </w:p>
        </w:tc>
      </w:tr>
      <w:tr w:rsidR="008C0EC2" w14:paraId="76BCEFEA"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50A6EEE" w14:textId="77777777" w:rsidR="008C0EC2" w:rsidRPr="00391BFA" w:rsidRDefault="00000000">
            <w:pPr>
              <w:rPr>
                <w:lang w:val="es-ES"/>
              </w:rPr>
            </w:pPr>
            <w:r w:rsidRPr="00391BFA">
              <w:rPr>
                <w:sz w:val="17"/>
                <w:lang w:val="es-ES"/>
              </w:rPr>
              <w:t>Secuencias en el universo de búsqueda</w:t>
            </w:r>
          </w:p>
        </w:tc>
        <w:tc>
          <w:tcPr>
            <w:tcW w:w="4896" w:type="dxa"/>
          </w:tcPr>
          <w:p w14:paraId="4C4E6672"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2.110.345</w:t>
            </w:r>
          </w:p>
        </w:tc>
      </w:tr>
      <w:tr w:rsidR="008C0EC2" w14:paraId="4B3C31C7"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94CCF4E" w14:textId="77777777" w:rsidR="008C0EC2" w:rsidRDefault="00000000">
            <w:r>
              <w:rPr>
                <w:sz w:val="17"/>
              </w:rPr>
              <w:t>Proteínas de aminotransferasa clase V recuperadas</w:t>
            </w:r>
          </w:p>
        </w:tc>
        <w:tc>
          <w:tcPr>
            <w:tcW w:w="4896" w:type="dxa"/>
          </w:tcPr>
          <w:p w14:paraId="22B9C16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617</w:t>
            </w:r>
          </w:p>
        </w:tc>
      </w:tr>
      <w:tr w:rsidR="008C0EC2" w14:paraId="1C63F81A"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F4E7815" w14:textId="77777777" w:rsidR="008C0EC2" w:rsidRDefault="00000000">
            <w:r>
              <w:rPr>
                <w:sz w:val="17"/>
              </w:rPr>
              <w:t>Columnas del alineamiento retenidas</w:t>
            </w:r>
          </w:p>
        </w:tc>
        <w:tc>
          <w:tcPr>
            <w:tcW w:w="4896" w:type="dxa"/>
          </w:tcPr>
          <w:p w14:paraId="6061A0D5"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386 de 768 (ocupación ≥ 0,35)</w:t>
            </w:r>
          </w:p>
        </w:tc>
      </w:tr>
      <w:tr w:rsidR="008C0EC2" w14:paraId="3B7B68CB"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231C66D" w14:textId="77777777" w:rsidR="008C0EC2" w:rsidRDefault="00000000">
            <w:r>
              <w:rPr>
                <w:sz w:val="17"/>
              </w:rPr>
              <w:t>Clado NFS2 / SufS</w:t>
            </w:r>
          </w:p>
        </w:tc>
        <w:tc>
          <w:tcPr>
            <w:tcW w:w="4896" w:type="dxa"/>
          </w:tcPr>
          <w:p w14:paraId="0A961A4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n = 116, soporte 1,00</w:t>
            </w:r>
          </w:p>
        </w:tc>
      </w:tr>
      <w:tr w:rsidR="008C0EC2" w14:paraId="7A5711A2"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6FFA68" w14:textId="77777777" w:rsidR="008C0EC2" w:rsidRDefault="00000000">
            <w:r>
              <w:rPr>
                <w:sz w:val="17"/>
              </w:rPr>
              <w:t>Clado NFS1 / IscS</w:t>
            </w:r>
          </w:p>
        </w:tc>
        <w:tc>
          <w:tcPr>
            <w:tcW w:w="4896" w:type="dxa"/>
          </w:tcPr>
          <w:p w14:paraId="4AE62645"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n = 134, soporte 0,79</w:t>
            </w:r>
          </w:p>
        </w:tc>
      </w:tr>
      <w:tr w:rsidR="008C0EC2" w14:paraId="62C3C8E5"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4C7B9E" w14:textId="77777777" w:rsidR="008C0EC2" w:rsidRDefault="00000000">
            <w:r>
              <w:rPr>
                <w:sz w:val="17"/>
              </w:rPr>
              <w:t>Clado SCLY-like</w:t>
            </w:r>
          </w:p>
        </w:tc>
        <w:tc>
          <w:tcPr>
            <w:tcW w:w="4896" w:type="dxa"/>
          </w:tcPr>
          <w:p w14:paraId="062F61B3"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n = 66, soporte 0,96</w:t>
            </w:r>
          </w:p>
        </w:tc>
      </w:tr>
      <w:tr w:rsidR="008C0EC2" w14:paraId="518663B8"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BFEF43A" w14:textId="77777777" w:rsidR="008C0EC2" w:rsidRDefault="00000000">
            <w:r>
              <w:rPr>
                <w:sz w:val="17"/>
              </w:rPr>
              <w:t>Especies con SCLY-like</w:t>
            </w:r>
          </w:p>
        </w:tc>
        <w:tc>
          <w:tcPr>
            <w:tcW w:w="4896" w:type="dxa"/>
          </w:tcPr>
          <w:p w14:paraId="4EEC124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56, en 7 linajes algales + Metazoa</w:t>
            </w:r>
          </w:p>
        </w:tc>
      </w:tr>
      <w:tr w:rsidR="008C0EC2" w14:paraId="5BA4FAF6"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BAC6495" w14:textId="77777777" w:rsidR="008C0EC2" w:rsidRDefault="00000000">
            <w:r>
              <w:rPr>
                <w:sz w:val="17"/>
              </w:rPr>
              <w:t>Entropía de Shannon en Gly, Cys, His de la firma</w:t>
            </w:r>
          </w:p>
        </w:tc>
        <w:tc>
          <w:tcPr>
            <w:tcW w:w="4896" w:type="dxa"/>
          </w:tcPr>
          <w:p w14:paraId="0F9B80B3"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0,000 bits</w:t>
            </w:r>
            <w:r>
              <w:rPr>
                <w:sz w:val="17"/>
              </w:rPr>
              <w:t xml:space="preserve"> (66 / 66)</w:t>
            </w:r>
          </w:p>
        </w:tc>
      </w:tr>
      <w:tr w:rsidR="008C0EC2" w14:paraId="79E5E4E4"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33CA873" w14:textId="77777777" w:rsidR="008C0EC2" w:rsidRDefault="00000000">
            <w:r>
              <w:rPr>
                <w:sz w:val="17"/>
              </w:rPr>
              <w:t>Longitud mediana de SCLY-like</w:t>
            </w:r>
          </w:p>
        </w:tc>
        <w:tc>
          <w:tcPr>
            <w:tcW w:w="4896" w:type="dxa"/>
          </w:tcPr>
          <w:p w14:paraId="29173200"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438 aa (IQR 410–470)</w:t>
            </w:r>
          </w:p>
        </w:tc>
      </w:tr>
      <w:tr w:rsidR="008C0EC2" w14:paraId="56C5C2ED"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38AF631" w14:textId="77777777" w:rsidR="008C0EC2" w:rsidRDefault="00000000">
            <w:r>
              <w:rPr>
                <w:sz w:val="17"/>
              </w:rPr>
              <w:t>Secuencias con longitud aberrante</w:t>
            </w:r>
          </w:p>
        </w:tc>
        <w:tc>
          <w:tcPr>
            <w:tcW w:w="4896" w:type="dxa"/>
          </w:tcPr>
          <w:p w14:paraId="051376E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9 de 67 (13 %)</w:t>
            </w:r>
          </w:p>
        </w:tc>
      </w:tr>
      <w:tr w:rsidR="008C0EC2" w14:paraId="3F41EFF8"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BD3E8B8" w14:textId="77777777" w:rsidR="008C0EC2" w:rsidRDefault="00000000">
            <w:r>
              <w:rPr>
                <w:sz w:val="17"/>
              </w:rPr>
              <w:t>Secuencias con localización fiable</w:t>
            </w:r>
          </w:p>
        </w:tc>
        <w:tc>
          <w:tcPr>
            <w:tcW w:w="4896" w:type="dxa"/>
          </w:tcPr>
          <w:p w14:paraId="0B93C6E5"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61 de 73</w:t>
            </w:r>
          </w:p>
        </w:tc>
      </w:tr>
      <w:tr w:rsidR="008C0EC2" w14:paraId="284249A4"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F9FE072" w14:textId="77777777" w:rsidR="008C0EC2" w:rsidRPr="00391BFA" w:rsidRDefault="00000000">
            <w:pPr>
              <w:rPr>
                <w:lang w:val="es-ES"/>
              </w:rPr>
            </w:pPr>
            <w:r w:rsidRPr="00391BFA">
              <w:rPr>
                <w:sz w:val="17"/>
                <w:lang w:val="es-ES"/>
              </w:rPr>
              <w:t>Mediana de probabilidad de plástido</w:t>
            </w:r>
          </w:p>
        </w:tc>
        <w:tc>
          <w:tcPr>
            <w:tcW w:w="4896" w:type="dxa"/>
          </w:tcPr>
          <w:p w14:paraId="13727013"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0,13</w:t>
            </w:r>
          </w:p>
        </w:tc>
      </w:tr>
      <w:tr w:rsidR="008C0EC2" w14:paraId="765AA562"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0FF006" w14:textId="77777777" w:rsidR="008C0EC2" w:rsidRPr="00391BFA" w:rsidRDefault="00000000">
            <w:pPr>
              <w:rPr>
                <w:lang w:val="es-ES"/>
              </w:rPr>
            </w:pPr>
            <w:r w:rsidRPr="00391BFA">
              <w:rPr>
                <w:sz w:val="17"/>
                <w:lang w:val="es-ES"/>
              </w:rPr>
              <w:t>Aciertos del panel de control de localización</w:t>
            </w:r>
          </w:p>
        </w:tc>
        <w:tc>
          <w:tcPr>
            <w:tcW w:w="4896" w:type="dxa"/>
          </w:tcPr>
          <w:p w14:paraId="0877C8AF"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4 de 7</w:t>
            </w:r>
          </w:p>
        </w:tc>
      </w:tr>
      <w:tr w:rsidR="008C0EC2" w14:paraId="2F17990F"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E878934" w14:textId="77777777" w:rsidR="008C0EC2" w:rsidRDefault="00000000">
            <w:r>
              <w:rPr>
                <w:sz w:val="17"/>
              </w:rPr>
              <w:t xml:space="preserve">TM-score SCLY humana vs </w:t>
            </w:r>
            <w:r>
              <w:rPr>
                <w:rFonts w:ascii="Consolas" w:hAnsi="Consolas"/>
                <w:sz w:val="17"/>
              </w:rPr>
              <w:t>3A9Z</w:t>
            </w:r>
          </w:p>
        </w:tc>
        <w:tc>
          <w:tcPr>
            <w:tcW w:w="4896" w:type="dxa"/>
          </w:tcPr>
          <w:p w14:paraId="00A7594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0,99 (RMSD 0,82 Å)</w:t>
            </w:r>
          </w:p>
        </w:tc>
      </w:tr>
      <w:tr w:rsidR="008C0EC2" w14:paraId="70EC044C"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7579FC1" w14:textId="77777777" w:rsidR="008C0EC2" w:rsidRDefault="00000000">
            <w:r>
              <w:rPr>
                <w:sz w:val="17"/>
              </w:rPr>
              <w:t>TM-score núcleo HText vs SCLY / IscS / SufS</w:t>
            </w:r>
          </w:p>
        </w:tc>
        <w:tc>
          <w:tcPr>
            <w:tcW w:w="4896" w:type="dxa"/>
          </w:tcPr>
          <w:p w14:paraId="37988325"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0,948 / 0,911 / 0,871</w:t>
            </w:r>
          </w:p>
        </w:tc>
      </w:tr>
      <w:tr w:rsidR="008C0EC2" w14:paraId="1821CE9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96DB9FE" w14:textId="77777777" w:rsidR="008C0EC2" w:rsidRPr="00391BFA" w:rsidRDefault="00000000">
            <w:pPr>
              <w:rPr>
                <w:lang w:val="es-ES"/>
              </w:rPr>
            </w:pPr>
            <w:r w:rsidRPr="00391BFA">
              <w:rPr>
                <w:sz w:val="17"/>
                <w:lang w:val="es-ES"/>
              </w:rPr>
              <w:t xml:space="preserve">Distancia Cys-SG → Se en HText (desde </w:t>
            </w:r>
            <w:r w:rsidRPr="00391BFA">
              <w:rPr>
                <w:rFonts w:ascii="Consolas" w:hAnsi="Consolas"/>
                <w:sz w:val="17"/>
                <w:lang w:val="es-ES"/>
              </w:rPr>
              <w:t>1KMK</w:t>
            </w:r>
            <w:r w:rsidRPr="00391BFA">
              <w:rPr>
                <w:sz w:val="17"/>
                <w:lang w:val="es-ES"/>
              </w:rPr>
              <w:t>)</w:t>
            </w:r>
          </w:p>
        </w:tc>
        <w:tc>
          <w:tcPr>
            <w:tcW w:w="4896" w:type="dxa"/>
          </w:tcPr>
          <w:p w14:paraId="71850BC7"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4,0 Å</w:t>
            </w:r>
          </w:p>
        </w:tc>
      </w:tr>
      <w:tr w:rsidR="008C0EC2" w14:paraId="598E532C"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3FEABDA" w14:textId="77777777" w:rsidR="008C0EC2" w:rsidRPr="00391BFA" w:rsidRDefault="00000000">
            <w:pPr>
              <w:rPr>
                <w:lang w:val="es-ES"/>
              </w:rPr>
            </w:pPr>
            <w:r w:rsidRPr="00391BFA">
              <w:rPr>
                <w:sz w:val="17"/>
                <w:lang w:val="es-ES"/>
              </w:rPr>
              <w:t>Posiciones del dominio analizadas por conservación</w:t>
            </w:r>
          </w:p>
        </w:tc>
        <w:tc>
          <w:tcPr>
            <w:tcW w:w="4896" w:type="dxa"/>
          </w:tcPr>
          <w:p w14:paraId="3C13AADA"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348</w:t>
            </w:r>
          </w:p>
        </w:tc>
      </w:tr>
      <w:tr w:rsidR="008C0EC2" w14:paraId="4C2967A0"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419A0FE" w14:textId="77777777" w:rsidR="008C0EC2" w:rsidRDefault="00000000">
            <w:r>
              <w:rPr>
                <w:sz w:val="17"/>
              </w:rPr>
              <w:t>Posiciones discriminantes de familia</w:t>
            </w:r>
          </w:p>
        </w:tc>
        <w:tc>
          <w:tcPr>
            <w:tcW w:w="4896" w:type="dxa"/>
          </w:tcPr>
          <w:p w14:paraId="2641FA3B"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6 (4 a &lt; 8 Å del cofactor)</w:t>
            </w:r>
          </w:p>
        </w:tc>
      </w:tr>
      <w:tr w:rsidR="008C0EC2" w14:paraId="7B3DE125"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7935D2" w14:textId="77777777" w:rsidR="008C0EC2" w:rsidRPr="00391BFA" w:rsidRDefault="00000000">
            <w:pPr>
              <w:rPr>
                <w:lang w:val="es-ES"/>
              </w:rPr>
            </w:pPr>
            <w:r w:rsidRPr="00391BFA">
              <w:rPr>
                <w:sz w:val="17"/>
                <w:lang w:val="es-ES"/>
              </w:rPr>
              <w:t>Correlación conservación vs distancia al cofactor</w:t>
            </w:r>
          </w:p>
        </w:tc>
        <w:tc>
          <w:tcPr>
            <w:tcW w:w="4896" w:type="dxa"/>
          </w:tcPr>
          <w:p w14:paraId="2412AB2F"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ρ = −0,54, p = 2 × 10⁻²⁷</w:t>
            </w:r>
          </w:p>
        </w:tc>
      </w:tr>
      <w:tr w:rsidR="008C0EC2" w14:paraId="690480D3"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FF335B1" w14:textId="77777777" w:rsidR="008C0EC2" w:rsidRDefault="00000000">
            <w:r>
              <w:rPr>
                <w:sz w:val="17"/>
              </w:rPr>
              <w:t>Lecturas de RNA-seq procesadas</w:t>
            </w:r>
          </w:p>
        </w:tc>
        <w:tc>
          <w:tcPr>
            <w:tcW w:w="4896" w:type="dxa"/>
          </w:tcPr>
          <w:p w14:paraId="005F747D"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21.890.509 (run </w:t>
            </w:r>
            <w:r>
              <w:rPr>
                <w:rFonts w:ascii="Consolas" w:hAnsi="Consolas"/>
                <w:sz w:val="17"/>
              </w:rPr>
              <w:t>SRR12973628</w:t>
            </w:r>
            <w:r>
              <w:rPr>
                <w:sz w:val="17"/>
              </w:rPr>
              <w:t>)</w:t>
            </w:r>
          </w:p>
        </w:tc>
      </w:tr>
      <w:tr w:rsidR="008C0EC2" w14:paraId="126ED857"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CF1F4E" w14:textId="77777777" w:rsidR="008C0EC2" w:rsidRDefault="00000000">
            <w:r>
              <w:rPr>
                <w:sz w:val="17"/>
              </w:rPr>
              <w:t>Soporte del intrón curado</w:t>
            </w:r>
          </w:p>
        </w:tc>
        <w:tc>
          <w:tcPr>
            <w:tcW w:w="4896" w:type="dxa"/>
          </w:tcPr>
          <w:p w14:paraId="60F0D6D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29 lecturas</w:t>
            </w:r>
          </w:p>
        </w:tc>
      </w:tr>
      <w:tr w:rsidR="008C0EC2" w14:paraId="72A57209"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16E3A1A" w14:textId="77777777" w:rsidR="008C0EC2" w:rsidRPr="00391BFA" w:rsidRDefault="00000000">
            <w:pPr>
              <w:rPr>
                <w:lang w:val="es-ES"/>
              </w:rPr>
            </w:pPr>
            <w:r w:rsidRPr="00391BFA">
              <w:rPr>
                <w:sz w:val="17"/>
                <w:lang w:val="es-ES"/>
              </w:rPr>
              <w:t>Soporte del empalme del anotador</w:t>
            </w:r>
          </w:p>
        </w:tc>
        <w:tc>
          <w:tcPr>
            <w:tcW w:w="4896" w:type="dxa"/>
          </w:tcPr>
          <w:p w14:paraId="3CB7CFA3"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0 lecturas</w:t>
            </w:r>
          </w:p>
        </w:tc>
      </w:tr>
      <w:tr w:rsidR="008C0EC2" w14:paraId="3B6AE80D"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014AA98" w14:textId="77777777" w:rsidR="008C0EC2" w:rsidRDefault="00000000">
            <w:r>
              <w:rPr>
                <w:sz w:val="17"/>
              </w:rPr>
              <w:t>Proteína SCLY-like curada de PABB004</w:t>
            </w:r>
          </w:p>
        </w:tc>
        <w:tc>
          <w:tcPr>
            <w:tcW w:w="4896" w:type="dxa"/>
          </w:tcPr>
          <w:p w14:paraId="43E175A4"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421 aa; K234, C360, H361</w:t>
            </w:r>
          </w:p>
        </w:tc>
      </w:tr>
      <w:tr w:rsidR="008C0EC2" w14:paraId="7761DA74"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F54FB8A" w14:textId="77777777" w:rsidR="008C0EC2" w:rsidRDefault="00000000">
            <w:r>
              <w:rPr>
                <w:sz w:val="17"/>
              </w:rPr>
              <w:t>Tasa relativa: SCLY vs NFS1</w:t>
            </w:r>
          </w:p>
        </w:tc>
        <w:tc>
          <w:tcPr>
            <w:tcW w:w="4896" w:type="dxa"/>
          </w:tcPr>
          <w:p w14:paraId="4A42952E"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p = 7 × 10⁻¹²</w:t>
            </w:r>
          </w:p>
        </w:tc>
      </w:tr>
      <w:tr w:rsidR="008C0EC2" w14:paraId="1EB43350"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0067EB1" w14:textId="77777777" w:rsidR="008C0EC2" w:rsidRDefault="00000000">
            <w:r>
              <w:rPr>
                <w:sz w:val="17"/>
              </w:rPr>
              <w:t>Tasa relativa: SCLY vs NFS2</w:t>
            </w:r>
          </w:p>
        </w:tc>
        <w:tc>
          <w:tcPr>
            <w:tcW w:w="4896" w:type="dxa"/>
          </w:tcPr>
          <w:p w14:paraId="14370B2B"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p = 0,12 (no difieren)</w:t>
            </w:r>
          </w:p>
        </w:tc>
      </w:tr>
      <w:tr w:rsidR="008C0EC2" w14:paraId="37A43BD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213829" w14:textId="77777777" w:rsidR="008C0EC2" w:rsidRPr="00391BFA" w:rsidRDefault="00000000">
            <w:pPr>
              <w:rPr>
                <w:lang w:val="es-ES"/>
              </w:rPr>
            </w:pPr>
            <w:r w:rsidRPr="00391BFA">
              <w:rPr>
                <w:sz w:val="17"/>
                <w:lang w:val="es-ES"/>
              </w:rPr>
              <w:t>Asociación SCLY ↔ maquinaria Sec, global</w:t>
            </w:r>
          </w:p>
        </w:tc>
        <w:tc>
          <w:tcPr>
            <w:tcW w:w="4896" w:type="dxa"/>
          </w:tcPr>
          <w:p w14:paraId="4F7431B8"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OR = 3,36, p = 0,0018</w:t>
            </w:r>
          </w:p>
        </w:tc>
      </w:tr>
      <w:tr w:rsidR="008C0EC2" w14:paraId="16C62656"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2993380" w14:textId="77777777" w:rsidR="008C0EC2" w:rsidRDefault="00000000">
            <w:r>
              <w:rPr>
                <w:sz w:val="17"/>
              </w:rPr>
              <w:t>Asociación dentro de Chlorophyta</w:t>
            </w:r>
          </w:p>
        </w:tc>
        <w:tc>
          <w:tcPr>
            <w:tcW w:w="4896" w:type="dxa"/>
          </w:tcPr>
          <w:p w14:paraId="3A59816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OR = 1,00, p = 1,00</w:t>
            </w:r>
          </w:p>
        </w:tc>
      </w:tr>
    </w:tbl>
    <w:p w14:paraId="4AB96385" w14:textId="77777777" w:rsidR="008C0EC2" w:rsidRDefault="008C0EC2"/>
    <w:p w14:paraId="452BBA96" w14:textId="77777777" w:rsidR="008C0EC2" w:rsidRDefault="008C0EC2"/>
    <w:p w14:paraId="39A1DB18" w14:textId="77777777" w:rsidR="008C0EC2" w:rsidRPr="00391BFA" w:rsidRDefault="00000000">
      <w:pPr>
        <w:pStyle w:val="Heading1"/>
        <w:rPr>
          <w:lang w:val="es-ES"/>
        </w:rPr>
      </w:pPr>
      <w:r w:rsidRPr="00391BFA">
        <w:rPr>
          <w:lang w:val="es-ES"/>
        </w:rPr>
        <w:t>5. Auditoría del material: qué entra y qué no</w:t>
      </w:r>
    </w:p>
    <w:p w14:paraId="115EEFF4" w14:textId="77777777" w:rsidR="008C0EC2" w:rsidRPr="00391BFA" w:rsidRDefault="00000000">
      <w:pPr>
        <w:rPr>
          <w:lang w:val="es-ES"/>
        </w:rPr>
      </w:pPr>
      <w:r w:rsidRPr="00391BFA">
        <w:rPr>
          <w:lang w:val="es-ES"/>
        </w:rPr>
        <w:t>Un revisor va a preguntar por cada análisis que se mencione. Esta sección deja constancia de qué se verificó y qué se descartó, con el motivo.</w:t>
      </w:r>
    </w:p>
    <w:p w14:paraId="02281B04" w14:textId="77777777" w:rsidR="008C0EC2" w:rsidRPr="00391BFA" w:rsidRDefault="00000000">
      <w:pPr>
        <w:pStyle w:val="Heading2"/>
        <w:rPr>
          <w:lang w:val="es-ES"/>
        </w:rPr>
      </w:pPr>
      <w:r w:rsidRPr="00391BFA">
        <w:rPr>
          <w:lang w:val="es-ES"/>
        </w:rPr>
        <w:t>5.1 — Material descartado de las versiones previas</w:t>
      </w:r>
    </w:p>
    <w:tbl>
      <w:tblPr>
        <w:tblStyle w:val="LightGrid-Accent1"/>
        <w:tblW w:w="0" w:type="auto"/>
        <w:jc w:val="center"/>
        <w:tblLook w:val="04A0" w:firstRow="1" w:lastRow="0" w:firstColumn="1" w:lastColumn="0" w:noHBand="0" w:noVBand="1"/>
      </w:tblPr>
      <w:tblGrid>
        <w:gridCol w:w="3264"/>
        <w:gridCol w:w="3264"/>
        <w:gridCol w:w="3264"/>
      </w:tblGrid>
      <w:tr w:rsidR="008C0EC2" w14:paraId="233A77AD"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7A124D8" w14:textId="77777777" w:rsidR="008C0EC2" w:rsidRDefault="00000000">
            <w:r>
              <w:rPr>
                <w:sz w:val="17"/>
              </w:rPr>
              <w:t>Material</w:t>
            </w:r>
          </w:p>
        </w:tc>
        <w:tc>
          <w:tcPr>
            <w:tcW w:w="3264" w:type="dxa"/>
          </w:tcPr>
          <w:p w14:paraId="5C0F5BBE"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Veredicto</w:t>
            </w:r>
          </w:p>
        </w:tc>
        <w:tc>
          <w:tcPr>
            <w:tcW w:w="3264" w:type="dxa"/>
          </w:tcPr>
          <w:p w14:paraId="543F80BB"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Motivo</w:t>
            </w:r>
          </w:p>
        </w:tc>
      </w:tr>
      <w:tr w:rsidR="008C0EC2" w:rsidRPr="00391BFA" w14:paraId="0DB1880F"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50DF759" w14:textId="77777777" w:rsidR="008C0EC2" w:rsidRDefault="00000000">
            <w:r>
              <w:rPr>
                <w:sz w:val="17"/>
              </w:rPr>
              <w:t>Docking con AutoDock Vina (2 notebooks)</w:t>
            </w:r>
          </w:p>
        </w:tc>
        <w:tc>
          <w:tcPr>
            <w:tcW w:w="3264" w:type="dxa"/>
          </w:tcPr>
          <w:p w14:paraId="53D6E075"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No usable</w:t>
            </w:r>
          </w:p>
        </w:tc>
        <w:tc>
          <w:tcPr>
            <w:tcW w:w="3264" w:type="dxa"/>
          </w:tcPr>
          <w:p w14:paraId="756DBB26"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rFonts w:ascii="Consolas" w:hAnsi="Consolas"/>
                <w:sz w:val="17"/>
                <w:lang w:val="es-ES"/>
              </w:rPr>
              <w:t>sed 's/Se$/S /g'</w:t>
            </w:r>
            <w:r w:rsidRPr="00391BFA">
              <w:rPr>
                <w:sz w:val="17"/>
                <w:lang w:val="es-ES"/>
              </w:rPr>
              <w:t xml:space="preserve"> reemplaza selenio por azufre; receptor sin PLP; caja de 22 Å; </w:t>
            </w:r>
            <w:r w:rsidRPr="00391BFA">
              <w:rPr>
                <w:rFonts w:ascii="Consolas" w:hAnsi="Consolas"/>
                <w:sz w:val="17"/>
                <w:lang w:val="es-ES"/>
              </w:rPr>
              <w:t>exhaustiveness</w:t>
            </w:r>
            <w:r w:rsidRPr="00391BFA">
              <w:rPr>
                <w:sz w:val="17"/>
                <w:lang w:val="es-ES"/>
              </w:rPr>
              <w:t xml:space="preserve"> 8 vs 32 declarado; sin outputs</w:t>
            </w:r>
          </w:p>
        </w:tc>
      </w:tr>
      <w:tr w:rsidR="008C0EC2" w:rsidRPr="00391BFA" w14:paraId="7EC6C9AC"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EBD669C" w14:textId="77777777" w:rsidR="008C0EC2" w:rsidRDefault="00000000">
            <w:r>
              <w:rPr>
                <w:sz w:val="17"/>
              </w:rPr>
              <w:t>Tabla "ConSurf" de 353 posiciones</w:t>
            </w:r>
          </w:p>
        </w:tc>
        <w:tc>
          <w:tcPr>
            <w:tcW w:w="3264" w:type="dxa"/>
          </w:tcPr>
          <w:p w14:paraId="73167398"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b/>
                <w:sz w:val="17"/>
                <w:lang w:val="es-ES"/>
              </w:rPr>
              <w:t>No es salida de ConSurf</w:t>
            </w:r>
          </w:p>
        </w:tc>
        <w:tc>
          <w:tcPr>
            <w:tcW w:w="3264" w:type="dxa"/>
          </w:tcPr>
          <w:p w14:paraId="3F5D710D"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grados 4–8 vacíos; 87 % de residuos expuestos; columnas inexistentes; test circular; p contradictorio entre figura y texto</w:t>
            </w:r>
          </w:p>
        </w:tc>
      </w:tr>
      <w:tr w:rsidR="008C0EC2" w14:paraId="7B8F56F6"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B33D667" w14:textId="77777777" w:rsidR="008C0EC2" w:rsidRDefault="00000000">
            <w:r>
              <w:rPr>
                <w:rFonts w:ascii="Consolas" w:hAnsi="Consolas"/>
                <w:sz w:val="17"/>
              </w:rPr>
              <w:t>MSA_73_panalgal.fasta</w:t>
            </w:r>
          </w:p>
        </w:tc>
        <w:tc>
          <w:tcPr>
            <w:tcW w:w="3264" w:type="dxa"/>
          </w:tcPr>
          <w:p w14:paraId="7EB4FE43"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No usable</w:t>
            </w:r>
          </w:p>
        </w:tc>
        <w:tc>
          <w:tcPr>
            <w:tcW w:w="3264" w:type="dxa"/>
          </w:tcPr>
          <w:p w14:paraId="008B502C"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88,6 % de gaps (70 secuencias, 4323 columnas)</w:t>
            </w:r>
          </w:p>
        </w:tc>
      </w:tr>
      <w:tr w:rsidR="008C0EC2" w:rsidRPr="00391BFA" w14:paraId="3093AD0F"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508174D" w14:textId="77777777" w:rsidR="008C0EC2" w:rsidRPr="00391BFA" w:rsidRDefault="00000000">
            <w:pPr>
              <w:rPr>
                <w:lang w:val="es-ES"/>
              </w:rPr>
            </w:pPr>
            <w:r w:rsidRPr="00391BFA">
              <w:rPr>
                <w:sz w:val="17"/>
                <w:lang w:val="es-ES"/>
              </w:rPr>
              <w:t>Localización plastidial de HText (DeepLoc 0,9477)</w:t>
            </w:r>
          </w:p>
        </w:tc>
        <w:tc>
          <w:tcPr>
            <w:tcW w:w="3264" w:type="dxa"/>
          </w:tcPr>
          <w:p w14:paraId="6272B49F"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Artefacto</w:t>
            </w:r>
          </w:p>
        </w:tc>
        <w:tc>
          <w:tcPr>
            <w:tcW w:w="3264" w:type="dxa"/>
          </w:tcPr>
          <w:p w14:paraId="658814D2"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 xml:space="preserve">el recorte manual empezaba en una región Ser/Arg/Ala que imita un péptido de </w:t>
            </w:r>
            <w:r w:rsidRPr="00391BFA">
              <w:rPr>
                <w:sz w:val="17"/>
                <w:lang w:val="es-ES"/>
              </w:rPr>
              <w:lastRenderedPageBreak/>
              <w:t>tránsito</w:t>
            </w:r>
          </w:p>
        </w:tc>
      </w:tr>
      <w:tr w:rsidR="008C0EC2" w:rsidRPr="00391BFA" w14:paraId="031A958E"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C62DA17" w14:textId="77777777" w:rsidR="008C0EC2" w:rsidRPr="00391BFA" w:rsidRDefault="00000000">
            <w:pPr>
              <w:rPr>
                <w:lang w:val="es-ES"/>
              </w:rPr>
            </w:pPr>
            <w:r w:rsidRPr="00391BFA">
              <w:rPr>
                <w:sz w:val="17"/>
                <w:lang w:val="es-ES"/>
              </w:rPr>
              <w:lastRenderedPageBreak/>
              <w:t>Marco "segunda NFS2 en PABB004"</w:t>
            </w:r>
          </w:p>
        </w:tc>
        <w:tc>
          <w:tcPr>
            <w:tcW w:w="3264" w:type="dxa"/>
          </w:tcPr>
          <w:p w14:paraId="67555C53"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Incorrecto</w:t>
            </w:r>
          </w:p>
        </w:tc>
        <w:tc>
          <w:tcPr>
            <w:tcW w:w="3264" w:type="dxa"/>
          </w:tcPr>
          <w:p w14:paraId="50C3D04A"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 xml:space="preserve">el cebo no era NFS2; </w:t>
            </w:r>
            <w:r w:rsidRPr="00391BFA">
              <w:rPr>
                <w:rFonts w:ascii="Consolas" w:hAnsi="Consolas"/>
                <w:sz w:val="17"/>
                <w:lang w:val="es-ES"/>
              </w:rPr>
              <w:t>KAF8071197.1</w:t>
            </w:r>
            <w:r w:rsidRPr="00391BFA">
              <w:rPr>
                <w:sz w:val="17"/>
                <w:lang w:val="es-ES"/>
              </w:rPr>
              <w:t xml:space="preserve"> sí lo es</w:t>
            </w:r>
          </w:p>
        </w:tc>
      </w:tr>
    </w:tbl>
    <w:p w14:paraId="2DE826ED" w14:textId="77777777" w:rsidR="008C0EC2" w:rsidRPr="00391BFA" w:rsidRDefault="008C0EC2">
      <w:pPr>
        <w:rPr>
          <w:lang w:val="es-ES"/>
        </w:rPr>
      </w:pPr>
    </w:p>
    <w:p w14:paraId="3E2A30BC" w14:textId="77777777" w:rsidR="008C0EC2" w:rsidRPr="00391BFA" w:rsidRDefault="00000000">
      <w:pPr>
        <w:rPr>
          <w:lang w:val="es-ES"/>
        </w:rPr>
      </w:pPr>
      <w:r w:rsidRPr="00391BFA">
        <w:rPr>
          <w:lang w:val="es-ES"/>
        </w:rPr>
        <w:t xml:space="preserve">Además se compiló una </w:t>
      </w:r>
      <w:r w:rsidRPr="00391BFA">
        <w:rPr>
          <w:b/>
          <w:lang w:val="es-ES"/>
        </w:rPr>
        <w:t>tabla de 22 correcciones</w:t>
      </w:r>
      <w:r w:rsidRPr="00391BFA">
        <w:rPr>
          <w:lang w:val="es-ES"/>
        </w:rPr>
        <w:t xml:space="preserve"> puntuales al texto del manuscrito (nomenclatura, accesiones, p-valores, atribuciones de familia).</w:t>
      </w:r>
    </w:p>
    <w:p w14:paraId="739C7695" w14:textId="77777777" w:rsidR="008C0EC2" w:rsidRPr="00391BFA" w:rsidRDefault="00000000">
      <w:pPr>
        <w:pStyle w:val="Heading2"/>
        <w:rPr>
          <w:lang w:val="es-ES"/>
        </w:rPr>
      </w:pPr>
      <w:r w:rsidRPr="00391BFA">
        <w:rPr>
          <w:lang w:val="es-ES"/>
        </w:rPr>
        <w:t>5.2 — Material nuevo recibido (paquete "Archaeplastida"): ⚠ no usable</w:t>
      </w:r>
    </w:p>
    <w:p w14:paraId="547E2D9C" w14:textId="77777777" w:rsidR="008C0EC2" w:rsidRPr="00391BFA" w:rsidRDefault="00000000">
      <w:pPr>
        <w:rPr>
          <w:lang w:val="es-ES"/>
        </w:rPr>
      </w:pPr>
      <w:r w:rsidRPr="00391BFA">
        <w:rPr>
          <w:lang w:val="es-ES"/>
        </w:rPr>
        <w:t xml:space="preserve">Se verificaron los doce archivos del paquete de tasas evolutivas y expresión. </w:t>
      </w:r>
      <w:r w:rsidRPr="00391BFA">
        <w:rPr>
          <w:b/>
          <w:lang w:val="es-ES"/>
        </w:rPr>
        <w:t>Ninguno de los cuatro análisis que proponen fue efectivamente ejecutado.</w:t>
      </w:r>
      <w:r w:rsidRPr="00391BFA">
        <w:rPr>
          <w:lang w:val="es-ES"/>
        </w:rPr>
        <w:t xml:space="preserve"> Detalle, porque esto hay que tenerlo claro antes de mostrarle nada a nadie:</w:t>
      </w:r>
    </w:p>
    <w:p w14:paraId="07A8A0B4" w14:textId="77777777" w:rsidR="008C0EC2" w:rsidRPr="00391BFA" w:rsidRDefault="00000000">
      <w:pPr>
        <w:rPr>
          <w:lang w:val="es-ES"/>
        </w:rPr>
      </w:pPr>
      <w:r w:rsidRPr="00391BFA">
        <w:rPr>
          <w:b/>
          <w:lang w:val="es-ES"/>
        </w:rPr>
        <w:t>(a) `matriz_expresion_panalgal.csv` y `figura_heatmap_expresion_panalgal.png` — datos sintéticos.</w:t>
      </w:r>
    </w:p>
    <w:p w14:paraId="6B29C37F" w14:textId="77777777" w:rsidR="008C0EC2" w:rsidRPr="00391BFA" w:rsidRDefault="00000000">
      <w:pPr>
        <w:rPr>
          <w:lang w:val="es-ES"/>
        </w:rPr>
      </w:pPr>
      <w:r w:rsidRPr="00391BFA">
        <w:rPr>
          <w:lang w:val="es-ES"/>
        </w:rPr>
        <w:t xml:space="preserve">La columna </w:t>
      </w:r>
      <w:r w:rsidRPr="00391BFA">
        <w:rPr>
          <w:rFonts w:ascii="Consolas" w:hAnsi="Consolas"/>
          <w:sz w:val="18"/>
          <w:lang w:val="es-ES"/>
        </w:rPr>
        <w:t>NFS2_Hits_TSA</w:t>
      </w:r>
      <w:r w:rsidRPr="00391BFA">
        <w:rPr>
          <w:lang w:val="es-ES"/>
        </w:rPr>
        <w:t xml:space="preserve"> es </w:t>
      </w:r>
      <w:r w:rsidRPr="00391BFA">
        <w:rPr>
          <w:b/>
          <w:lang w:val="es-ES"/>
        </w:rPr>
        <w:t>exactamente `NFS1_Hits_TSA` × 1,2</w:t>
      </w:r>
      <w:r w:rsidRPr="00391BFA">
        <w:rPr>
          <w:lang w:val="es-ES"/>
        </w:rPr>
        <w:t xml:space="preserve"> en 23 de las 34 filas, y el cociente tiene media 1,209 con desvío 0,020 en las 34. Dos genes distintos, en treinta y cuatro especies distintas, no pueden tener un cociente de conteos de hits constante en 1,2. Los números fueron generados por fórmula.</w:t>
      </w:r>
    </w:p>
    <w:p w14:paraId="3C3DE27D" w14:textId="77777777" w:rsidR="008C0EC2" w:rsidRPr="00391BFA" w:rsidRDefault="00000000">
      <w:pPr>
        <w:rPr>
          <w:lang w:val="es-ES"/>
        </w:rPr>
      </w:pPr>
      <w:r w:rsidRPr="00391BFA">
        <w:rPr>
          <w:lang w:val="es-ES"/>
        </w:rPr>
        <w:t xml:space="preserve">A eso se suma que los TaxID están mal: </w:t>
      </w:r>
      <w:r w:rsidRPr="00391BFA">
        <w:rPr>
          <w:i/>
          <w:lang w:val="es-ES"/>
        </w:rPr>
        <w:t>Scenedesmus</w:t>
      </w:r>
      <w:r w:rsidRPr="00391BFA">
        <w:rPr>
          <w:lang w:val="es-ES"/>
        </w:rPr>
        <w:t xml:space="preserve"> sp. PABB004 figura como 3087 (ése es el TaxID del género </w:t>
      </w:r>
      <w:r w:rsidRPr="00391BFA">
        <w:rPr>
          <w:i/>
          <w:lang w:val="es-ES"/>
        </w:rPr>
        <w:t>Scenedesmus</w:t>
      </w:r>
      <w:r w:rsidRPr="00391BFA">
        <w:rPr>
          <w:lang w:val="es-ES"/>
        </w:rPr>
        <w:t xml:space="preserve">; el real es </w:t>
      </w:r>
      <w:r w:rsidRPr="00391BFA">
        <w:rPr>
          <w:b/>
          <w:lang w:val="es-ES"/>
        </w:rPr>
        <w:t>2742167</w:t>
      </w:r>
      <w:r w:rsidRPr="00391BFA">
        <w:rPr>
          <w:lang w:val="es-ES"/>
        </w:rPr>
        <w:t xml:space="preserve">), </w:t>
      </w:r>
      <w:r w:rsidRPr="00391BFA">
        <w:rPr>
          <w:i/>
          <w:lang w:val="es-ES"/>
        </w:rPr>
        <w:t>S. bijugus</w:t>
      </w:r>
      <w:r w:rsidRPr="00391BFA">
        <w:rPr>
          <w:lang w:val="es-ES"/>
        </w:rPr>
        <w:t xml:space="preserve"> como 3089 (real </w:t>
      </w:r>
      <w:r w:rsidRPr="00391BFA">
        <w:rPr>
          <w:b/>
          <w:lang w:val="es-ES"/>
        </w:rPr>
        <w:t>1539023</w:t>
      </w:r>
      <w:r w:rsidRPr="00391BFA">
        <w:rPr>
          <w:lang w:val="es-ES"/>
        </w:rPr>
        <w:t xml:space="preserve">), </w:t>
      </w:r>
      <w:r w:rsidRPr="00391BFA">
        <w:rPr>
          <w:i/>
          <w:lang w:val="es-ES"/>
        </w:rPr>
        <w:t>Gonium pectorale</w:t>
      </w:r>
      <w:r w:rsidRPr="00391BFA">
        <w:rPr>
          <w:lang w:val="es-ES"/>
        </w:rPr>
        <w:t xml:space="preserve"> como 33090 (real </w:t>
      </w:r>
      <w:r w:rsidRPr="00391BFA">
        <w:rPr>
          <w:b/>
          <w:lang w:val="es-ES"/>
        </w:rPr>
        <w:t>33097</w:t>
      </w:r>
      <w:r w:rsidRPr="00391BFA">
        <w:rPr>
          <w:lang w:val="es-ES"/>
        </w:rPr>
        <w:t xml:space="preserve">) — y 3087/3088/3089 es una secuencia correlativa, señal de que fueron inventados. Las coberturas de ORF están todas comprimidas entre 90 y 99 %, lo que no ocurre con datos reales. Y la escala no es comparable entre especies: </w:t>
      </w:r>
      <w:r w:rsidRPr="00391BFA">
        <w:rPr>
          <w:i/>
          <w:lang w:val="es-ES"/>
        </w:rPr>
        <w:t>A. thaliana</w:t>
      </w:r>
      <w:r w:rsidRPr="00391BFA">
        <w:rPr>
          <w:lang w:val="es-ES"/>
        </w:rPr>
        <w:t xml:space="preserve"> aparece con 94.899 hits de TSA frente a 12 de PABB004, lo que refleja esfuerzo de secuenciación, no expresión.</w:t>
      </w:r>
    </w:p>
    <w:p w14:paraId="2D2698EC" w14:textId="77777777" w:rsidR="008C0EC2" w:rsidRPr="00391BFA" w:rsidRDefault="00000000">
      <w:pPr>
        <w:rPr>
          <w:lang w:val="es-ES"/>
        </w:rPr>
      </w:pPr>
      <w:r w:rsidRPr="00391BFA">
        <w:rPr>
          <w:b/>
          <w:lang w:val="es-ES"/>
        </w:rPr>
        <w:t>(b) `figura_coexpresion_nfs2_scly.png` — correlación sobre los datos de (a).</w:t>
      </w:r>
      <w:r w:rsidRPr="00391BFA">
        <w:rPr>
          <w:lang w:val="es-ES"/>
        </w:rPr>
        <w:t xml:space="preserve"> R = 0,51 calculado sobre la misma matriz. Además, si NFS2 es NFS1 × 1,2 por construcción, cualquier correlación que involucre esa columna está contaminada.</w:t>
      </w:r>
    </w:p>
    <w:p w14:paraId="3CC56276" w14:textId="77777777" w:rsidR="008C0EC2" w:rsidRPr="00391BFA" w:rsidRDefault="00000000">
      <w:pPr>
        <w:rPr>
          <w:lang w:val="es-ES"/>
        </w:rPr>
      </w:pPr>
      <w:r w:rsidRPr="00391BFA">
        <w:rPr>
          <w:b/>
          <w:lang w:val="es-ES"/>
        </w:rPr>
        <w:t>(c) `figura_distribucion_macroevolutiva.png` — contradice los datos verificados.</w:t>
      </w:r>
      <w:r w:rsidRPr="00391BFA">
        <w:rPr>
          <w:lang w:val="es-ES"/>
        </w:rPr>
        <w:t xml:space="preserve"> La figura reporta </w:t>
      </w:r>
      <w:r w:rsidRPr="00391BFA">
        <w:rPr>
          <w:b/>
          <w:lang w:val="es-ES"/>
        </w:rPr>
        <w:t>100 %</w:t>
      </w:r>
      <w:r w:rsidRPr="00391BFA">
        <w:rPr>
          <w:lang w:val="es-ES"/>
        </w:rPr>
        <w:t xml:space="preserve"> de presencia de SCLY-like en Chlorophyta, Bacillariophyta y Haptophyta. Los valores reales del barrido de 119 proteomas (§2.9) son </w:t>
      </w:r>
      <w:r w:rsidRPr="00391BFA">
        <w:rPr>
          <w:b/>
          <w:lang w:val="es-ES"/>
        </w:rPr>
        <w:t>32/48 = 67 %</w:t>
      </w:r>
      <w:r w:rsidRPr="00391BFA">
        <w:rPr>
          <w:lang w:val="es-ES"/>
        </w:rPr>
        <w:t xml:space="preserve">, </w:t>
      </w:r>
      <w:r w:rsidRPr="00391BFA">
        <w:rPr>
          <w:b/>
          <w:lang w:val="es-ES"/>
        </w:rPr>
        <w:t>14/16 = 88 %</w:t>
      </w:r>
      <w:r w:rsidRPr="00391BFA">
        <w:rPr>
          <w:lang w:val="es-ES"/>
        </w:rPr>
        <w:t xml:space="preserve"> y </w:t>
      </w:r>
      <w:r w:rsidRPr="00391BFA">
        <w:rPr>
          <w:b/>
          <w:lang w:val="es-ES"/>
        </w:rPr>
        <w:t>3/4 = 75 %</w:t>
      </w:r>
      <w:r w:rsidRPr="00391BFA">
        <w:rPr>
          <w:lang w:val="es-ES"/>
        </w:rPr>
        <w:t>. Si esta figura va al lado de la tabla de distribución, el conflicto es inmediato.</w:t>
      </w:r>
    </w:p>
    <w:p w14:paraId="7B5F22B4" w14:textId="77777777" w:rsidR="008C0EC2" w:rsidRPr="00391BFA" w:rsidRDefault="00000000">
      <w:pPr>
        <w:rPr>
          <w:lang w:val="es-ES"/>
        </w:rPr>
      </w:pPr>
      <w:r w:rsidRPr="00391BFA">
        <w:rPr>
          <w:b/>
          <w:lang w:val="es-ES"/>
        </w:rPr>
        <w:t>(d) `figura_tasa_evolutiva_y_divergencia.png`, `matriz_tasas_evolutivas_omega.csv`, `calibraciones_fosiles_y_tiempos.csv` — codeml nunca corrió.</w:t>
      </w:r>
    </w:p>
    <w:p w14:paraId="0BC34B6E" w14:textId="77777777" w:rsidR="008C0EC2" w:rsidRPr="00391BFA" w:rsidRDefault="00000000">
      <w:pPr>
        <w:rPr>
          <w:lang w:val="es-ES"/>
        </w:rPr>
      </w:pPr>
      <w:r w:rsidRPr="00391BFA">
        <w:rPr>
          <w:lang w:val="es-ES"/>
        </w:rPr>
        <w:t xml:space="preserve">El script </w:t>
      </w:r>
      <w:r w:rsidRPr="00391BFA">
        <w:rPr>
          <w:rFonts w:ascii="Consolas" w:hAnsi="Consolas"/>
          <w:sz w:val="18"/>
          <w:lang w:val="es-ES"/>
        </w:rPr>
        <w:t>analisis_tasas_omega_codeml.py</w:t>
      </w:r>
      <w:r w:rsidRPr="00391BFA">
        <w:rPr>
          <w:lang w:val="es-ES"/>
        </w:rPr>
        <w:t xml:space="preserve"> tiene 956 bytes y su contenido completo es: una cadena de texto con un archivo de control de CodeML y un </w:t>
      </w:r>
      <w:r w:rsidRPr="00391BFA">
        <w:rPr>
          <w:rFonts w:ascii="Consolas" w:hAnsi="Consolas"/>
          <w:sz w:val="18"/>
          <w:lang w:val="es-ES"/>
        </w:rPr>
        <w:t>print()</w:t>
      </w:r>
      <w:r w:rsidRPr="00391BFA">
        <w:rPr>
          <w:lang w:val="es-ES"/>
        </w:rPr>
        <w:t xml:space="preserve">. Declara en su primera línea "Script explicativo". </w:t>
      </w:r>
      <w:r w:rsidRPr="00391BFA">
        <w:rPr>
          <w:b/>
          <w:lang w:val="es-ES"/>
        </w:rPr>
        <w:t>No invoca PAML, no lee alineamientos, no estima nada.</w:t>
      </w:r>
      <w:r w:rsidRPr="00391BFA">
        <w:rPr>
          <w:lang w:val="es-ES"/>
        </w:rPr>
        <w:t xml:space="preserve"> El propio </w:t>
      </w:r>
      <w:r w:rsidRPr="00391BFA">
        <w:rPr>
          <w:rFonts w:ascii="Consolas" w:hAnsi="Consolas"/>
          <w:sz w:val="18"/>
          <w:lang w:val="es-ES"/>
        </w:rPr>
        <w:t>README.md</w:t>
      </w:r>
      <w:r w:rsidRPr="00391BFA">
        <w:rPr>
          <w:lang w:val="es-ES"/>
        </w:rPr>
        <w:t xml:space="preserve"> lo describe como "Plantilla y archivo de control documentado". Sin embargo, </w:t>
      </w:r>
      <w:r w:rsidRPr="00391BFA">
        <w:rPr>
          <w:rFonts w:ascii="Consolas" w:hAnsi="Consolas"/>
          <w:sz w:val="18"/>
          <w:lang w:val="es-ES"/>
        </w:rPr>
        <w:t>matriz_tasas_evolutivas_omega.csv</w:t>
      </w:r>
      <w:r w:rsidRPr="00391BFA">
        <w:rPr>
          <w:lang w:val="es-ES"/>
        </w:rPr>
        <w:t xml:space="preserve"> presenta valores de dN, dS, </w:t>
      </w:r>
      <w:r>
        <w:t>ω</w:t>
      </w:r>
      <w:r w:rsidRPr="00391BFA">
        <w:rPr>
          <w:lang w:val="es-ES"/>
        </w:rPr>
        <w:t xml:space="preserve"> </w:t>
      </w:r>
      <w:r w:rsidRPr="00391BFA">
        <w:rPr>
          <w:b/>
          <w:lang w:val="es-ES"/>
        </w:rPr>
        <w:t>e intervalos de confianza del 95 %</w:t>
      </w:r>
      <w:r w:rsidRPr="00391BFA">
        <w:rPr>
          <w:lang w:val="es-ES"/>
        </w:rPr>
        <w:t xml:space="preserve"> como si hubieran sido estimados, y la figura los grafica sin ninguna advertencia.</w:t>
      </w:r>
    </w:p>
    <w:p w14:paraId="5E316E23" w14:textId="77777777" w:rsidR="008C0EC2" w:rsidRPr="00391BFA" w:rsidRDefault="00000000">
      <w:pPr>
        <w:rPr>
          <w:lang w:val="es-ES"/>
        </w:rPr>
      </w:pPr>
      <w:r w:rsidRPr="00391BFA">
        <w:rPr>
          <w:lang w:val="es-ES"/>
        </w:rPr>
        <w:t xml:space="preserve">Lo mismo con el cronograma: </w:t>
      </w:r>
      <w:r w:rsidRPr="00391BFA">
        <w:rPr>
          <w:rFonts w:ascii="Consolas" w:hAnsi="Consolas"/>
          <w:sz w:val="18"/>
          <w:lang w:val="es-ES"/>
        </w:rPr>
        <w:t>METODOLOGIA_Y_PARAMETROS_EVOLUCION.md</w:t>
      </w:r>
      <w:r w:rsidRPr="00391BFA">
        <w:rPr>
          <w:lang w:val="es-ES"/>
        </w:rPr>
        <w:t xml:space="preserve"> describe MCMCTree con 200.000 generaciones, ESS &gt; 200 verificado en Tracer, IQ-TREE con LG+C60+F+R8 y seis calibraciones fósiles. No hay archivo de salida, ni árbol, ni log, ni alineamiento de codones de ninguno de esos pasos.</w:t>
      </w:r>
    </w:p>
    <w:p w14:paraId="295B10E1" w14:textId="77777777" w:rsidR="008C0EC2" w:rsidRPr="00391BFA" w:rsidRDefault="00000000">
      <w:pPr>
        <w:rPr>
          <w:lang w:val="es-ES"/>
        </w:rPr>
      </w:pPr>
      <w:r w:rsidRPr="00391BFA">
        <w:rPr>
          <w:lang w:val="es-ES"/>
        </w:rPr>
        <w:lastRenderedPageBreak/>
        <w:t xml:space="preserve">Hay además errores de contenido que delatan el origen: el documento cita "MAFFT (Kurihara et al., 2019)" —la cita de MAFFT es Katoh— y usa </w:t>
      </w:r>
      <w:r w:rsidRPr="00391BFA">
        <w:rPr>
          <w:i/>
          <w:lang w:val="es-ES"/>
        </w:rPr>
        <w:t>Bangiomorpha pubescens</w:t>
      </w:r>
      <w:r w:rsidRPr="00391BFA">
        <w:rPr>
          <w:lang w:val="es-ES"/>
        </w:rPr>
        <w:t xml:space="preserve">, fechada por U-Pb en 1.047 Ma, para justificar una restricción de </w:t>
      </w:r>
      <w:r w:rsidRPr="00391BFA">
        <w:rPr>
          <w:b/>
          <w:lang w:val="es-ES"/>
        </w:rPr>
        <w:t>1.500–1.750 Ma</w:t>
      </w:r>
      <w:r w:rsidRPr="00391BFA">
        <w:rPr>
          <w:lang w:val="es-ES"/>
        </w:rPr>
        <w:t>, lo que invierte el sentido de una calibración mínima.</w:t>
      </w:r>
    </w:p>
    <w:p w14:paraId="25A34B40" w14:textId="77777777" w:rsidR="008C0EC2" w:rsidRPr="00391BFA" w:rsidRDefault="00000000">
      <w:pPr>
        <w:rPr>
          <w:lang w:val="es-ES"/>
        </w:rPr>
      </w:pPr>
      <w:r w:rsidRPr="00391BFA">
        <w:rPr>
          <w:lang w:val="es-ES"/>
        </w:rPr>
        <w:t xml:space="preserve">Y la conclusión que la figura pretende sostener —que SCLY está bajo restricción más relajada que NFS1 y NFS2— </w:t>
      </w:r>
      <w:r w:rsidRPr="00391BFA">
        <w:rPr>
          <w:b/>
          <w:lang w:val="es-ES"/>
        </w:rPr>
        <w:t>es contraria a lo que muestran los datos reales</w:t>
      </w:r>
      <w:r w:rsidRPr="00391BFA">
        <w:rPr>
          <w:lang w:val="es-ES"/>
        </w:rPr>
        <w:t xml:space="preserve">: el cálculo del §2.14 da SCLY vs NFS2 con </w:t>
      </w:r>
      <w:r w:rsidRPr="00391BFA">
        <w:rPr>
          <w:b/>
          <w:lang w:val="es-ES"/>
        </w:rPr>
        <w:t>p = 0,12</w:t>
      </w:r>
      <w:r w:rsidRPr="00391BFA">
        <w:rPr>
          <w:lang w:val="es-ES"/>
        </w:rPr>
        <w:t>, es decir, indistinguibles.</w:t>
      </w:r>
    </w:p>
    <w:p w14:paraId="048AA2FB" w14:textId="77777777" w:rsidR="008C0EC2" w:rsidRPr="00391BFA" w:rsidRDefault="00000000">
      <w:pPr>
        <w:rPr>
          <w:lang w:val="es-ES"/>
        </w:rPr>
      </w:pPr>
      <w:r w:rsidRPr="00391BFA">
        <w:rPr>
          <w:b/>
          <w:lang w:val="es-ES"/>
        </w:rPr>
        <w:t>Qué hacer con este paquete.</w:t>
      </w:r>
    </w:p>
    <w:p w14:paraId="559B2AA9" w14:textId="77777777" w:rsidR="008C0EC2" w:rsidRPr="00391BFA" w:rsidRDefault="00000000">
      <w:pPr>
        <w:pStyle w:val="ListBullet"/>
        <w:rPr>
          <w:lang w:val="es-ES"/>
        </w:rPr>
      </w:pPr>
      <w:r w:rsidRPr="00391BFA">
        <w:rPr>
          <w:b/>
          <w:lang w:val="es-ES"/>
        </w:rPr>
        <w:t>No usar</w:t>
      </w:r>
      <w:r w:rsidRPr="00391BFA">
        <w:rPr>
          <w:lang w:val="es-ES"/>
        </w:rPr>
        <w:t xml:space="preserve"> ninguna de las cuatro figuras, ninguna de las tres tablas de datos, ni los dos scripts como resultados.</w:t>
      </w:r>
    </w:p>
    <w:p w14:paraId="3CC06711" w14:textId="77777777" w:rsidR="008C0EC2" w:rsidRPr="00391BFA" w:rsidRDefault="00000000">
      <w:pPr>
        <w:pStyle w:val="ListBullet"/>
        <w:rPr>
          <w:lang w:val="es-ES"/>
        </w:rPr>
      </w:pPr>
      <w:r w:rsidRPr="00391BFA">
        <w:rPr>
          <w:b/>
          <w:lang w:val="es-ES"/>
        </w:rPr>
        <w:t>Nunca</w:t>
      </w:r>
      <w:r w:rsidRPr="00391BFA">
        <w:rPr>
          <w:lang w:val="es-ES"/>
        </w:rPr>
        <w:t xml:space="preserve"> incorporarlos a un manuscrito ni a una presentación. Una tabla de </w:t>
      </w:r>
      <w:r>
        <w:t>ω</w:t>
      </w:r>
      <w:r w:rsidRPr="00391BFA">
        <w:rPr>
          <w:lang w:val="es-ES"/>
        </w:rPr>
        <w:t xml:space="preserve"> con intervalos de confianza que no salieron de un estimador es fabricación de datos; si llega a un revisor o a un comité, el daño no es a la figura, es a la credibilidad de todo lo demás —y lo demás es sólido.</w:t>
      </w:r>
    </w:p>
    <w:p w14:paraId="3C3ED091" w14:textId="77777777" w:rsidR="008C0EC2" w:rsidRPr="00391BFA" w:rsidRDefault="00000000">
      <w:pPr>
        <w:pStyle w:val="ListBullet"/>
        <w:rPr>
          <w:lang w:val="es-ES"/>
        </w:rPr>
      </w:pPr>
      <w:r w:rsidRPr="00391BFA">
        <w:rPr>
          <w:b/>
          <w:lang w:val="es-ES"/>
        </w:rPr>
        <w:t>Sí conservar</w:t>
      </w:r>
      <w:r w:rsidRPr="00391BFA">
        <w:rPr>
          <w:lang w:val="es-ES"/>
        </w:rPr>
        <w:t xml:space="preserve"> </w:t>
      </w:r>
      <w:r w:rsidRPr="00391BFA">
        <w:rPr>
          <w:rFonts w:ascii="Consolas" w:hAnsi="Consolas"/>
          <w:sz w:val="18"/>
          <w:lang w:val="es-ES"/>
        </w:rPr>
        <w:t>METODOLOGIA_Y_PARAMETROS_EVOLUCION.md</w:t>
      </w:r>
      <w:r w:rsidRPr="00391BFA">
        <w:rPr>
          <w:lang w:val="es-ES"/>
        </w:rPr>
        <w:t xml:space="preserve"> </w:t>
      </w:r>
      <w:r w:rsidRPr="00391BFA">
        <w:rPr>
          <w:b/>
          <w:lang w:val="es-ES"/>
        </w:rPr>
        <w:t>como plan de trabajo</w:t>
      </w:r>
      <w:r w:rsidRPr="00391BFA">
        <w:rPr>
          <w:lang w:val="es-ES"/>
        </w:rPr>
        <w:t xml:space="preserve">: describe con precisión el pipeline que </w:t>
      </w:r>
      <w:r w:rsidRPr="00391BFA">
        <w:rPr>
          <w:i/>
          <w:lang w:val="es-ES"/>
        </w:rPr>
        <w:t>habría que correr</w:t>
      </w:r>
      <w:r w:rsidRPr="00391BFA">
        <w:rPr>
          <w:lang w:val="es-ES"/>
        </w:rPr>
        <w:t xml:space="preserve"> (MAFFT L-INS-i → Pal2Nal → IQ-TREE → MCMCTree → CodeML branch-model con LRT). Como especificación de un análisis futuro es útil. Como registro de un análisis pasado, no lo es.</w:t>
      </w:r>
    </w:p>
    <w:p w14:paraId="50D418E6" w14:textId="77777777" w:rsidR="008C0EC2" w:rsidRPr="00391BFA" w:rsidRDefault="00000000">
      <w:pPr>
        <w:pStyle w:val="ListBullet"/>
        <w:rPr>
          <w:lang w:val="es-ES"/>
        </w:rPr>
      </w:pPr>
      <w:r w:rsidRPr="00391BFA">
        <w:rPr>
          <w:lang w:val="es-ES"/>
        </w:rPr>
        <w:t>El reemplazo honesto del panel de tasas ya está hecho y es la §2.14.</w:t>
      </w:r>
    </w:p>
    <w:p w14:paraId="73CC21AB" w14:textId="77777777" w:rsidR="008C0EC2" w:rsidRDefault="00000000">
      <w:pPr>
        <w:pStyle w:val="Heading2"/>
      </w:pPr>
      <w:r>
        <w:t>5.3 — Material verificado y conservado</w:t>
      </w:r>
    </w:p>
    <w:tbl>
      <w:tblPr>
        <w:tblStyle w:val="LightGrid-Accent1"/>
        <w:tblW w:w="0" w:type="auto"/>
        <w:jc w:val="center"/>
        <w:tblLook w:val="04A0" w:firstRow="1" w:lastRow="0" w:firstColumn="1" w:lastColumn="0" w:noHBand="0" w:noVBand="1"/>
      </w:tblPr>
      <w:tblGrid>
        <w:gridCol w:w="4896"/>
        <w:gridCol w:w="4896"/>
      </w:tblGrid>
      <w:tr w:rsidR="008C0EC2" w14:paraId="275A9416"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348F75" w14:textId="77777777" w:rsidR="008C0EC2" w:rsidRDefault="00000000">
            <w:r>
              <w:rPr>
                <w:sz w:val="17"/>
              </w:rPr>
              <w:t>Material</w:t>
            </w:r>
          </w:p>
        </w:tc>
        <w:tc>
          <w:tcPr>
            <w:tcW w:w="4896" w:type="dxa"/>
          </w:tcPr>
          <w:p w14:paraId="707082E6"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Veredicto</w:t>
            </w:r>
          </w:p>
        </w:tc>
      </w:tr>
      <w:tr w:rsidR="008C0EC2" w:rsidRPr="00391BFA" w14:paraId="64F29DF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8EFE46F" w14:textId="77777777" w:rsidR="008C0EC2" w:rsidRDefault="00000000">
            <w:r>
              <w:rPr>
                <w:rFonts w:ascii="Consolas" w:hAnsi="Consolas"/>
                <w:sz w:val="17"/>
              </w:rPr>
              <w:t>HText.cif</w:t>
            </w:r>
            <w:r>
              <w:rPr>
                <w:sz w:val="17"/>
              </w:rPr>
              <w:t xml:space="preserve"> (modelo AlphaFold)</w:t>
            </w:r>
          </w:p>
        </w:tc>
        <w:tc>
          <w:tcPr>
            <w:tcW w:w="4896" w:type="dxa"/>
          </w:tcPr>
          <w:p w14:paraId="061B6B5E"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b/>
                <w:sz w:val="17"/>
                <w:lang w:val="es-ES"/>
              </w:rPr>
              <w:t>Usable</w:t>
            </w:r>
            <w:r w:rsidRPr="00391BFA">
              <w:rPr>
                <w:sz w:val="17"/>
                <w:lang w:val="es-ES"/>
              </w:rPr>
              <w:t>, con la salvedad de que los residuos 1–125 tienen pLDDT 33,9 y hay que recortarlos</w:t>
            </w:r>
          </w:p>
        </w:tc>
      </w:tr>
      <w:tr w:rsidR="008C0EC2" w:rsidRPr="00391BFA" w14:paraId="0A3309F0"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AA3A629" w14:textId="77777777" w:rsidR="008C0EC2" w:rsidRPr="00391BFA" w:rsidRDefault="00000000">
            <w:pPr>
              <w:rPr>
                <w:lang w:val="es-ES"/>
              </w:rPr>
            </w:pPr>
            <w:r w:rsidRPr="00391BFA">
              <w:rPr>
                <w:rFonts w:ascii="Consolas" w:hAnsi="Consolas"/>
                <w:sz w:val="17"/>
                <w:lang w:val="es-ES"/>
              </w:rPr>
              <w:t>Perfil conservacion.png</w:t>
            </w:r>
            <w:r w:rsidRPr="00391BFA">
              <w:rPr>
                <w:sz w:val="17"/>
                <w:lang w:val="es-ES"/>
              </w:rPr>
              <w:t xml:space="preserve"> (WebLogo del bucle)</w:t>
            </w:r>
          </w:p>
        </w:tc>
        <w:tc>
          <w:tcPr>
            <w:tcW w:w="4896" w:type="dxa"/>
          </w:tcPr>
          <w:p w14:paraId="032A5607"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b/>
                <w:sz w:val="17"/>
                <w:lang w:val="es-ES"/>
              </w:rPr>
              <w:t>Usable</w:t>
            </w:r>
            <w:r w:rsidRPr="00391BFA">
              <w:rPr>
                <w:sz w:val="17"/>
                <w:lang w:val="es-ES"/>
              </w:rPr>
              <w:t xml:space="preserve"> — coincide con el cálculo independiente de entropía</w:t>
            </w:r>
          </w:p>
        </w:tc>
      </w:tr>
      <w:tr w:rsidR="008C0EC2" w14:paraId="0997063A"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310E2ED" w14:textId="77777777" w:rsidR="008C0EC2" w:rsidRDefault="00000000">
            <w:r>
              <w:rPr>
                <w:rFonts w:ascii="Consolas" w:hAnsi="Consolas"/>
                <w:sz w:val="17"/>
              </w:rPr>
              <w:t>MSA_suplementario_desulfurasas Spark.fasta</w:t>
            </w:r>
          </w:p>
        </w:tc>
        <w:tc>
          <w:tcPr>
            <w:tcW w:w="4896" w:type="dxa"/>
          </w:tcPr>
          <w:p w14:paraId="19DE8B69"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Usable</w:t>
            </w:r>
            <w:r>
              <w:rPr>
                <w:sz w:val="17"/>
              </w:rPr>
              <w:t xml:space="preserve"> (21 secuencias)</w:t>
            </w:r>
          </w:p>
        </w:tc>
      </w:tr>
      <w:tr w:rsidR="008C0EC2" w14:paraId="207FCC95"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1D692B3" w14:textId="77777777" w:rsidR="008C0EC2" w:rsidRPr="00391BFA" w:rsidRDefault="00000000">
            <w:pPr>
              <w:rPr>
                <w:lang w:val="es-ES"/>
              </w:rPr>
            </w:pPr>
            <w:r w:rsidRPr="00391BFA">
              <w:rPr>
                <w:sz w:val="17"/>
                <w:lang w:val="es-ES"/>
              </w:rPr>
              <w:t>Imágenes de CD-Search, BLASTp y TSA del documento original</w:t>
            </w:r>
          </w:p>
        </w:tc>
        <w:tc>
          <w:tcPr>
            <w:tcW w:w="4896" w:type="dxa"/>
          </w:tcPr>
          <w:p w14:paraId="1FC69646"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Usables</w:t>
            </w:r>
            <w:r>
              <w:rPr>
                <w:sz w:val="17"/>
              </w:rPr>
              <w:t xml:space="preserve"> como evidencia documental</w:t>
            </w:r>
          </w:p>
        </w:tc>
      </w:tr>
      <w:tr w:rsidR="008C0EC2" w14:paraId="1B05F2DD"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1D82FBE" w14:textId="77777777" w:rsidR="008C0EC2" w:rsidRDefault="00000000">
            <w:r>
              <w:rPr>
                <w:sz w:val="17"/>
              </w:rPr>
              <w:t>Figura de vía metabólica</w:t>
            </w:r>
          </w:p>
        </w:tc>
        <w:tc>
          <w:tcPr>
            <w:tcW w:w="4896" w:type="dxa"/>
          </w:tcPr>
          <w:p w14:paraId="3DAC6E08"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Usable</w:t>
            </w:r>
            <w:r>
              <w:rPr>
                <w:sz w:val="17"/>
              </w:rPr>
              <w:t xml:space="preserve"> como esquema, no como resultado</w:t>
            </w:r>
          </w:p>
        </w:tc>
      </w:tr>
      <w:tr w:rsidR="008C0EC2" w:rsidRPr="00391BFA" w14:paraId="0BAB1659"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E42C67A" w14:textId="77777777" w:rsidR="008C0EC2" w:rsidRDefault="00000000">
            <w:r>
              <w:rPr>
                <w:sz w:val="17"/>
              </w:rPr>
              <w:t>Árbol de MEGA preliminar</w:t>
            </w:r>
          </w:p>
        </w:tc>
        <w:tc>
          <w:tcPr>
            <w:tcW w:w="4896" w:type="dxa"/>
          </w:tcPr>
          <w:p w14:paraId="72C50704"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b/>
                <w:sz w:val="17"/>
                <w:lang w:val="es-ES"/>
              </w:rPr>
              <w:t>Usable sólo como parte del relato</w:t>
            </w:r>
            <w:r w:rsidRPr="00391BFA">
              <w:rPr>
                <w:sz w:val="17"/>
                <w:lang w:val="es-ES"/>
              </w:rPr>
              <w:t xml:space="preserve"> — reemplazado por el árbol del §2.7</w:t>
            </w:r>
          </w:p>
        </w:tc>
      </w:tr>
    </w:tbl>
    <w:p w14:paraId="3D850B68" w14:textId="77777777" w:rsidR="008C0EC2" w:rsidRPr="00391BFA" w:rsidRDefault="008C0EC2">
      <w:pPr>
        <w:rPr>
          <w:lang w:val="es-ES"/>
        </w:rPr>
      </w:pPr>
    </w:p>
    <w:p w14:paraId="34135BAA" w14:textId="77777777" w:rsidR="008C0EC2" w:rsidRPr="00391BFA" w:rsidRDefault="008C0EC2">
      <w:pPr>
        <w:rPr>
          <w:lang w:val="es-ES"/>
        </w:rPr>
      </w:pPr>
    </w:p>
    <w:p w14:paraId="65B05C27" w14:textId="77777777" w:rsidR="008C0EC2" w:rsidRPr="00391BFA" w:rsidRDefault="00000000">
      <w:pPr>
        <w:pStyle w:val="Heading1"/>
        <w:rPr>
          <w:lang w:val="es-ES"/>
        </w:rPr>
      </w:pPr>
      <w:r w:rsidRPr="00391BFA">
        <w:rPr>
          <w:lang w:val="es-ES"/>
        </w:rPr>
        <w:t>6. Limitaciones, declaradas</w:t>
      </w:r>
    </w:p>
    <w:p w14:paraId="39CC2460" w14:textId="77777777" w:rsidR="008C0EC2" w:rsidRPr="00391BFA" w:rsidRDefault="00000000">
      <w:pPr>
        <w:rPr>
          <w:lang w:val="es-ES"/>
        </w:rPr>
      </w:pPr>
      <w:r w:rsidRPr="00391BFA">
        <w:rPr>
          <w:lang w:val="es-ES"/>
        </w:rPr>
        <w:t>Para que estén escritas antes de que las escriba un revisor:</w:t>
      </w:r>
    </w:p>
    <w:p w14:paraId="679C5967" w14:textId="77777777" w:rsidR="008C0EC2" w:rsidRDefault="00000000">
      <w:pPr>
        <w:pStyle w:val="ListNumber"/>
      </w:pPr>
      <w:r w:rsidRPr="00391BFA">
        <w:rPr>
          <w:b/>
          <w:lang w:val="es-ES"/>
        </w:rPr>
        <w:t>Ausencia en proteomas ≠ ausencia en genomas.</w:t>
      </w:r>
      <w:r w:rsidRPr="00391BFA">
        <w:rPr>
          <w:lang w:val="es-ES"/>
        </w:rPr>
        <w:t xml:space="preserve"> Las pérdidas en Embryophyta (0/6) y Rhodophyta (0/12) se apoyan en proteomas de referencia. </w:t>
      </w:r>
      <w:r>
        <w:t>Falta tBLASTn genómico y sintenia.</w:t>
      </w:r>
    </w:p>
    <w:p w14:paraId="741EBF26" w14:textId="77777777" w:rsidR="008C0EC2" w:rsidRDefault="00000000">
      <w:pPr>
        <w:pStyle w:val="ListNumber"/>
      </w:pPr>
      <w:r w:rsidRPr="00391BFA">
        <w:rPr>
          <w:b/>
          <w:lang w:val="es-ES"/>
        </w:rPr>
        <w:t>La localización no resuelve citosol vs mitocondria.</w:t>
      </w:r>
      <w:r w:rsidRPr="00391BFA">
        <w:rPr>
          <w:lang w:val="es-ES"/>
        </w:rPr>
        <w:t xml:space="preserve"> El panel de control falló 3 de 7 en esa distinción. </w:t>
      </w:r>
      <w:r>
        <w:t>Lo único robusto es el descarte de plástido.</w:t>
      </w:r>
    </w:p>
    <w:p w14:paraId="5A9802E0" w14:textId="77777777" w:rsidR="008C0EC2" w:rsidRPr="00391BFA" w:rsidRDefault="00000000">
      <w:pPr>
        <w:pStyle w:val="ListNumber"/>
        <w:rPr>
          <w:lang w:val="es-ES"/>
        </w:rPr>
      </w:pPr>
      <w:r w:rsidRPr="00391BFA">
        <w:rPr>
          <w:b/>
          <w:lang w:val="es-ES"/>
        </w:rPr>
        <w:t>Los bucles de AlphaFold no sostienen distancias.</w:t>
      </w:r>
      <w:r w:rsidRPr="00391BFA">
        <w:rPr>
          <w:lang w:val="es-ES"/>
        </w:rPr>
        <w:t xml:space="preserve"> Dos ortólogos con 54 % de identidad dan 4,0 Å y 9,0 Å al mismo ligando.</w:t>
      </w:r>
    </w:p>
    <w:p w14:paraId="14B31EC6" w14:textId="77777777" w:rsidR="008C0EC2" w:rsidRPr="00391BFA" w:rsidRDefault="00000000">
      <w:pPr>
        <w:pStyle w:val="ListNumber"/>
        <w:rPr>
          <w:lang w:val="es-ES"/>
        </w:rPr>
      </w:pPr>
      <w:r w:rsidRPr="00391BFA">
        <w:rPr>
          <w:b/>
          <w:lang w:val="es-ES"/>
        </w:rPr>
        <w:t>La especificidad Cys vs Sec no se resuelve por bioinformática.</w:t>
      </w:r>
      <w:r w:rsidRPr="00391BFA">
        <w:rPr>
          <w:lang w:val="es-ES"/>
        </w:rPr>
        <w:t xml:space="preserve"> Ni docking ni superposición. Requiere QM/MM o ensayo enzimático.</w:t>
      </w:r>
    </w:p>
    <w:p w14:paraId="36B04BC6" w14:textId="77777777" w:rsidR="008C0EC2" w:rsidRDefault="00000000">
      <w:pPr>
        <w:pStyle w:val="ListNumber"/>
      </w:pPr>
      <w:r w:rsidRPr="00391BFA">
        <w:rPr>
          <w:b/>
          <w:lang w:val="es-ES"/>
        </w:rPr>
        <w:t>La asociación con la maquinaria Sec es pseudorreplicación filogenética.</w:t>
      </w:r>
      <w:r w:rsidRPr="00391BFA">
        <w:rPr>
          <w:lang w:val="es-ES"/>
        </w:rPr>
        <w:t xml:space="preserve"> </w:t>
      </w:r>
      <w:r>
        <w:t>Desaparece al controlar por linaje.</w:t>
      </w:r>
    </w:p>
    <w:p w14:paraId="2457CD76" w14:textId="77777777" w:rsidR="008C0EC2" w:rsidRPr="00391BFA" w:rsidRDefault="00000000">
      <w:pPr>
        <w:pStyle w:val="ListNumber"/>
        <w:rPr>
          <w:lang w:val="es-ES"/>
        </w:rPr>
      </w:pPr>
      <w:r w:rsidRPr="00391BFA">
        <w:rPr>
          <w:b/>
          <w:lang w:val="es-ES"/>
        </w:rPr>
        <w:t xml:space="preserve">La tasa relativa no es </w:t>
      </w:r>
      <w:r>
        <w:rPr>
          <w:b/>
        </w:rPr>
        <w:t>ω</w:t>
      </w:r>
      <w:r w:rsidRPr="00391BFA">
        <w:rPr>
          <w:b/>
          <w:lang w:val="es-ES"/>
        </w:rPr>
        <w:t>.</w:t>
      </w:r>
      <w:r w:rsidRPr="00391BFA">
        <w:rPr>
          <w:lang w:val="es-ES"/>
        </w:rPr>
        <w:t xml:space="preserve"> No separa restricción selectiva de tasa de mutación.</w:t>
      </w:r>
    </w:p>
    <w:p w14:paraId="5771FC3C" w14:textId="77777777" w:rsidR="008C0EC2" w:rsidRPr="00391BFA" w:rsidRDefault="00000000">
      <w:pPr>
        <w:pStyle w:val="ListNumber"/>
        <w:rPr>
          <w:lang w:val="es-ES"/>
        </w:rPr>
      </w:pPr>
      <w:r w:rsidRPr="00391BFA">
        <w:rPr>
          <w:b/>
          <w:lang w:val="es-ES"/>
        </w:rPr>
        <w:t>El extremo 5' del gen curado está sin resolver</w:t>
      </w:r>
      <w:r w:rsidRPr="00391BFA">
        <w:rPr>
          <w:lang w:val="es-ES"/>
        </w:rPr>
        <w:t xml:space="preserve"> (~60 residuos N-terminales).</w:t>
      </w:r>
    </w:p>
    <w:p w14:paraId="4AE677DE" w14:textId="77777777" w:rsidR="008C0EC2" w:rsidRPr="00391BFA" w:rsidRDefault="00000000">
      <w:pPr>
        <w:pStyle w:val="ListNumber"/>
        <w:rPr>
          <w:lang w:val="es-ES"/>
        </w:rPr>
      </w:pPr>
      <w:r w:rsidRPr="00391BFA">
        <w:rPr>
          <w:b/>
          <w:lang w:val="es-ES"/>
        </w:rPr>
        <w:t>301 de las 617 proteínas clase V quedaron sin asignar</w:t>
      </w:r>
      <w:r w:rsidRPr="00391BFA">
        <w:rPr>
          <w:lang w:val="es-ES"/>
        </w:rPr>
        <w:t xml:space="preserve"> a ninguna de las tres subfamilias.</w:t>
      </w:r>
    </w:p>
    <w:p w14:paraId="069152F9" w14:textId="77777777" w:rsidR="008C0EC2" w:rsidRPr="00391BFA" w:rsidRDefault="00000000">
      <w:pPr>
        <w:pStyle w:val="ListNumber"/>
        <w:rPr>
          <w:lang w:val="es-ES"/>
        </w:rPr>
      </w:pPr>
      <w:r w:rsidRPr="00391BFA">
        <w:rPr>
          <w:b/>
          <w:lang w:val="es-ES"/>
        </w:rPr>
        <w:lastRenderedPageBreak/>
        <w:t>El soporte del clado NFS1 es 0,79</w:t>
      </w:r>
      <w:r w:rsidRPr="00391BFA">
        <w:rPr>
          <w:lang w:val="es-ES"/>
        </w:rPr>
        <w:t>, mediocre. No afecta la conclusión sobre SCLY-like (0,96), pero hay que reportarlo.</w:t>
      </w:r>
    </w:p>
    <w:p w14:paraId="1028CD56" w14:textId="77777777" w:rsidR="008C0EC2" w:rsidRDefault="00000000">
      <w:pPr>
        <w:pStyle w:val="ListNumber"/>
      </w:pPr>
      <w:r w:rsidRPr="00391BFA">
        <w:rPr>
          <w:b/>
          <w:lang w:val="es-ES"/>
        </w:rPr>
        <w:t>n pequeños en varios linajes</w:t>
      </w:r>
      <w:r w:rsidRPr="00391BFA">
        <w:rPr>
          <w:lang w:val="es-ES"/>
        </w:rPr>
        <w:t xml:space="preserve">: Haptophyta 4, Cryptophyceae 1, Xanthophyceae 1, Phaeophyceae 1. </w:t>
      </w:r>
      <w:r>
        <w:t>Los porcentajes de esos grupos no son estimaciones estables.</w:t>
      </w:r>
    </w:p>
    <w:p w14:paraId="085A1C89" w14:textId="77777777" w:rsidR="008C0EC2" w:rsidRDefault="008C0EC2"/>
    <w:p w14:paraId="04056168" w14:textId="77777777" w:rsidR="008C0EC2" w:rsidRPr="00391BFA" w:rsidRDefault="00000000">
      <w:pPr>
        <w:pStyle w:val="Heading1"/>
        <w:rPr>
          <w:lang w:val="es-ES"/>
        </w:rPr>
      </w:pPr>
      <w:r w:rsidRPr="00391BFA">
        <w:rPr>
          <w:lang w:val="es-ES"/>
        </w:rPr>
        <w:t>7. Qué está blindado y qué no</w:t>
      </w:r>
    </w:p>
    <w:tbl>
      <w:tblPr>
        <w:tblStyle w:val="LightGrid-Accent1"/>
        <w:tblW w:w="0" w:type="auto"/>
        <w:jc w:val="center"/>
        <w:tblLook w:val="04A0" w:firstRow="1" w:lastRow="0" w:firstColumn="1" w:lastColumn="0" w:noHBand="0" w:noVBand="1"/>
      </w:tblPr>
      <w:tblGrid>
        <w:gridCol w:w="4896"/>
        <w:gridCol w:w="4896"/>
      </w:tblGrid>
      <w:tr w:rsidR="008C0EC2" w14:paraId="2E9E0804"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D7677A5" w14:textId="77777777" w:rsidR="008C0EC2" w:rsidRDefault="00000000">
            <w:r>
              <w:rPr>
                <w:sz w:val="17"/>
              </w:rPr>
              <w:t>Afirmación</w:t>
            </w:r>
          </w:p>
        </w:tc>
        <w:tc>
          <w:tcPr>
            <w:tcW w:w="4896" w:type="dxa"/>
          </w:tcPr>
          <w:p w14:paraId="24D8DCDE"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Estado</w:t>
            </w:r>
          </w:p>
        </w:tc>
      </w:tr>
      <w:tr w:rsidR="008C0EC2" w14:paraId="4BA5C15A"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A65359" w14:textId="77777777" w:rsidR="008C0EC2" w:rsidRPr="00391BFA" w:rsidRDefault="00000000">
            <w:pPr>
              <w:rPr>
                <w:lang w:val="es-ES"/>
              </w:rPr>
            </w:pPr>
            <w:r w:rsidRPr="00391BFA">
              <w:rPr>
                <w:sz w:val="17"/>
                <w:lang w:val="es-ES"/>
              </w:rPr>
              <w:t>Existe un tercer clado de clase V en algas, monofilético</w:t>
            </w:r>
          </w:p>
        </w:tc>
        <w:tc>
          <w:tcPr>
            <w:tcW w:w="4896" w:type="dxa"/>
          </w:tcPr>
          <w:p w14:paraId="2AD86BA1"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Blindado</w:t>
            </w:r>
            <w:r>
              <w:rPr>
                <w:sz w:val="17"/>
              </w:rPr>
              <w:t xml:space="preserve"> — 617 secuencias, soporte 0,96, universo de 2,1 M</w:t>
            </w:r>
          </w:p>
        </w:tc>
      </w:tr>
      <w:tr w:rsidR="008C0EC2" w14:paraId="530BD95B"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0F76693" w14:textId="77777777" w:rsidR="008C0EC2" w:rsidRPr="00391BFA" w:rsidRDefault="00000000">
            <w:pPr>
              <w:rPr>
                <w:lang w:val="es-ES"/>
              </w:rPr>
            </w:pPr>
            <w:r w:rsidRPr="00391BFA">
              <w:rPr>
                <w:sz w:val="17"/>
                <w:lang w:val="es-ES"/>
              </w:rPr>
              <w:t xml:space="preserve">Se identifica por el bucle </w:t>
            </w:r>
            <w:r w:rsidRPr="00391BFA">
              <w:rPr>
                <w:rFonts w:ascii="Consolas" w:hAnsi="Consolas"/>
                <w:sz w:val="17"/>
                <w:lang w:val="es-ES"/>
              </w:rPr>
              <w:t>SAGxACH</w:t>
            </w:r>
          </w:p>
        </w:tc>
        <w:tc>
          <w:tcPr>
            <w:tcW w:w="4896" w:type="dxa"/>
          </w:tcPr>
          <w:p w14:paraId="1E26D6D1"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Blindado</w:t>
            </w:r>
            <w:r>
              <w:rPr>
                <w:sz w:val="17"/>
              </w:rPr>
              <w:t xml:space="preserve"> — entropía 0,000 en 66/66</w:t>
            </w:r>
          </w:p>
        </w:tc>
      </w:tr>
      <w:tr w:rsidR="008C0EC2" w14:paraId="4E4D5006"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9E5233" w14:textId="77777777" w:rsidR="008C0EC2" w:rsidRPr="00391BFA" w:rsidRDefault="00000000">
            <w:pPr>
              <w:rPr>
                <w:lang w:val="es-ES"/>
              </w:rPr>
            </w:pPr>
            <w:r w:rsidRPr="00391BFA">
              <w:rPr>
                <w:sz w:val="17"/>
                <w:lang w:val="es-ES"/>
              </w:rPr>
              <w:t>Es el ortólogo algal de SCLY</w:t>
            </w:r>
          </w:p>
        </w:tc>
        <w:tc>
          <w:tcPr>
            <w:tcW w:w="4896" w:type="dxa"/>
          </w:tcPr>
          <w:p w14:paraId="3CC435B6"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Blindado</w:t>
            </w:r>
            <w:r>
              <w:rPr>
                <w:sz w:val="17"/>
              </w:rPr>
              <w:t xml:space="preserve"> — SCLY humana es rama hermana; TM-score 0,99 con </w:t>
            </w:r>
            <w:r>
              <w:rPr>
                <w:rFonts w:ascii="Consolas" w:hAnsi="Consolas"/>
                <w:sz w:val="17"/>
              </w:rPr>
              <w:t>3A9Z</w:t>
            </w:r>
          </w:p>
        </w:tc>
      </w:tr>
      <w:tr w:rsidR="008C0EC2" w14:paraId="4DFFBA8F"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703C5E8" w14:textId="77777777" w:rsidR="008C0EC2" w:rsidRDefault="00000000">
            <w:r>
              <w:rPr>
                <w:rFonts w:ascii="Consolas" w:hAnsi="Consolas"/>
                <w:sz w:val="17"/>
              </w:rPr>
              <w:t>PNW80545.1</w:t>
            </w:r>
            <w:r>
              <w:rPr>
                <w:sz w:val="17"/>
              </w:rPr>
              <w:t xml:space="preserve"> está mal anotado como NFS2</w:t>
            </w:r>
          </w:p>
        </w:tc>
        <w:tc>
          <w:tcPr>
            <w:tcW w:w="4896" w:type="dxa"/>
          </w:tcPr>
          <w:p w14:paraId="36CC12F3"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Blindado</w:t>
            </w:r>
          </w:p>
        </w:tc>
      </w:tr>
      <w:tr w:rsidR="008C0EC2" w14:paraId="231FED44"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A4E853" w14:textId="77777777" w:rsidR="008C0EC2" w:rsidRPr="00391BFA" w:rsidRDefault="00000000">
            <w:pPr>
              <w:rPr>
                <w:lang w:val="es-ES"/>
              </w:rPr>
            </w:pPr>
            <w:r w:rsidRPr="00391BFA">
              <w:rPr>
                <w:sz w:val="17"/>
                <w:lang w:val="es-ES"/>
              </w:rPr>
              <w:t>PABB004 tiene los tres genes</w:t>
            </w:r>
          </w:p>
        </w:tc>
        <w:tc>
          <w:tcPr>
            <w:tcW w:w="4896" w:type="dxa"/>
          </w:tcPr>
          <w:p w14:paraId="5F7192F7"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Blindado</w:t>
            </w:r>
          </w:p>
        </w:tc>
      </w:tr>
      <w:tr w:rsidR="008C0EC2" w14:paraId="22B4A0DD"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ADE13E2" w14:textId="77777777" w:rsidR="008C0EC2" w:rsidRPr="00391BFA" w:rsidRDefault="00000000">
            <w:pPr>
              <w:rPr>
                <w:lang w:val="es-ES"/>
              </w:rPr>
            </w:pPr>
            <w:r w:rsidRPr="00391BFA">
              <w:rPr>
                <w:sz w:val="17"/>
                <w:lang w:val="es-ES"/>
              </w:rPr>
              <w:t>El gen SCLY-like de PABB004 está mal anotado y el modelo curado es el correcto</w:t>
            </w:r>
          </w:p>
        </w:tc>
        <w:tc>
          <w:tcPr>
            <w:tcW w:w="4896" w:type="dxa"/>
          </w:tcPr>
          <w:p w14:paraId="54AD9832"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Blindado</w:t>
            </w:r>
            <w:r>
              <w:rPr>
                <w:sz w:val="17"/>
              </w:rPr>
              <w:t xml:space="preserve"> — 29 lecturas vs 0</w:t>
            </w:r>
          </w:p>
        </w:tc>
      </w:tr>
      <w:tr w:rsidR="008C0EC2" w14:paraId="371A513E"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68C0AF1" w14:textId="77777777" w:rsidR="008C0EC2" w:rsidRPr="00391BFA" w:rsidRDefault="00000000">
            <w:pPr>
              <w:rPr>
                <w:lang w:val="es-ES"/>
              </w:rPr>
            </w:pPr>
            <w:r w:rsidRPr="00391BFA">
              <w:rPr>
                <w:sz w:val="17"/>
                <w:lang w:val="es-ES"/>
              </w:rPr>
              <w:t>El gen se expresa en PABB004</w:t>
            </w:r>
          </w:p>
        </w:tc>
        <w:tc>
          <w:tcPr>
            <w:tcW w:w="4896" w:type="dxa"/>
          </w:tcPr>
          <w:p w14:paraId="458C6C0F"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Blindado</w:t>
            </w:r>
          </w:p>
        </w:tc>
      </w:tr>
      <w:tr w:rsidR="008C0EC2" w14:paraId="0E37CB19"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7AB908B" w14:textId="77777777" w:rsidR="008C0EC2" w:rsidRDefault="00000000">
            <w:r>
              <w:rPr>
                <w:sz w:val="17"/>
              </w:rPr>
              <w:t>No es plastidial</w:t>
            </w:r>
          </w:p>
        </w:tc>
        <w:tc>
          <w:tcPr>
            <w:tcW w:w="4896" w:type="dxa"/>
          </w:tcPr>
          <w:p w14:paraId="5BD4CFE1"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Blindado</w:t>
            </w:r>
          </w:p>
        </w:tc>
      </w:tr>
      <w:tr w:rsidR="008C0EC2" w14:paraId="43C2F422"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D774831" w14:textId="77777777" w:rsidR="008C0EC2" w:rsidRPr="00391BFA" w:rsidRDefault="00000000">
            <w:pPr>
              <w:rPr>
                <w:lang w:val="es-ES"/>
              </w:rPr>
            </w:pPr>
            <w:r w:rsidRPr="00391BFA">
              <w:rPr>
                <w:sz w:val="17"/>
                <w:lang w:val="es-ES"/>
              </w:rPr>
              <w:t>NFS1 está bajo mayor restricción que NFS2 y SCLY</w:t>
            </w:r>
          </w:p>
        </w:tc>
        <w:tc>
          <w:tcPr>
            <w:tcW w:w="4896" w:type="dxa"/>
          </w:tcPr>
          <w:p w14:paraId="34192591"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Blindado</w:t>
            </w:r>
            <w:r>
              <w:rPr>
                <w:sz w:val="17"/>
              </w:rPr>
              <w:t xml:space="preserve"> — p = 7 × 10⁻¹², pareado</w:t>
            </w:r>
          </w:p>
        </w:tc>
      </w:tr>
      <w:tr w:rsidR="008C0EC2" w14:paraId="43EEC823"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91C88A1" w14:textId="77777777" w:rsidR="008C0EC2" w:rsidRPr="00391BFA" w:rsidRDefault="00000000">
            <w:pPr>
              <w:rPr>
                <w:lang w:val="es-ES"/>
              </w:rPr>
            </w:pPr>
            <w:r w:rsidRPr="00391BFA">
              <w:rPr>
                <w:sz w:val="17"/>
                <w:lang w:val="es-ES"/>
              </w:rPr>
              <w:t>Las posiciones discriminantes están cerca del cofactor</w:t>
            </w:r>
          </w:p>
        </w:tc>
        <w:tc>
          <w:tcPr>
            <w:tcW w:w="4896" w:type="dxa"/>
          </w:tcPr>
          <w:p w14:paraId="46B25EE1"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Blindado</w:t>
            </w:r>
            <w:r>
              <w:rPr>
                <w:sz w:val="17"/>
              </w:rPr>
              <w:t xml:space="preserve"> — ρ = −0,54, p = 2 × 10⁻²⁷</w:t>
            </w:r>
          </w:p>
        </w:tc>
      </w:tr>
      <w:tr w:rsidR="008C0EC2" w:rsidRPr="00391BFA" w14:paraId="411FAE4D"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A80BDDB" w14:textId="77777777" w:rsidR="008C0EC2" w:rsidRDefault="00000000">
            <w:r>
              <w:rPr>
                <w:sz w:val="17"/>
              </w:rPr>
              <w:t>Es citosólica</w:t>
            </w:r>
          </w:p>
        </w:tc>
        <w:tc>
          <w:tcPr>
            <w:tcW w:w="4896" w:type="dxa"/>
          </w:tcPr>
          <w:p w14:paraId="78005DE9"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b/>
                <w:sz w:val="17"/>
                <w:lang w:val="es-ES"/>
              </w:rPr>
              <w:t>No blindado</w:t>
            </w:r>
            <w:r w:rsidRPr="00391BFA">
              <w:rPr>
                <w:sz w:val="17"/>
                <w:lang w:val="es-ES"/>
              </w:rPr>
              <w:t xml:space="preserve"> — predictores no confiables en esa distinción</w:t>
            </w:r>
          </w:p>
        </w:tc>
      </w:tr>
      <w:tr w:rsidR="008C0EC2" w14:paraId="425F81B9"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76EA725" w14:textId="77777777" w:rsidR="008C0EC2" w:rsidRDefault="00000000">
            <w:r>
              <w:rPr>
                <w:sz w:val="17"/>
              </w:rPr>
              <w:t>Hubo dos pérdidas independientes</w:t>
            </w:r>
          </w:p>
        </w:tc>
        <w:tc>
          <w:tcPr>
            <w:tcW w:w="4896" w:type="dxa"/>
          </w:tcPr>
          <w:p w14:paraId="6B0F3B36"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Parcialmente</w:t>
            </w:r>
            <w:r>
              <w:rPr>
                <w:sz w:val="17"/>
              </w:rPr>
              <w:t xml:space="preserve"> — falta evidencia genómica</w:t>
            </w:r>
          </w:p>
        </w:tc>
      </w:tr>
      <w:tr w:rsidR="008C0EC2" w14:paraId="487609CE"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0080D4" w14:textId="77777777" w:rsidR="008C0EC2" w:rsidRPr="00391BFA" w:rsidRDefault="00000000">
            <w:pPr>
              <w:rPr>
                <w:lang w:val="es-ES"/>
              </w:rPr>
            </w:pPr>
            <w:r w:rsidRPr="00391BFA">
              <w:rPr>
                <w:sz w:val="17"/>
                <w:lang w:val="es-ES"/>
              </w:rPr>
              <w:t>La pérdida se debe a la pérdida del selenoproteoma</w:t>
            </w:r>
          </w:p>
        </w:tc>
        <w:tc>
          <w:tcPr>
            <w:tcW w:w="4896" w:type="dxa"/>
          </w:tcPr>
          <w:p w14:paraId="5F5B3110"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b/>
                <w:sz w:val="17"/>
              </w:rPr>
              <w:t>Hipótesis</w:t>
            </w:r>
            <w:r>
              <w:rPr>
                <w:sz w:val="17"/>
              </w:rPr>
              <w:t xml:space="preserve"> — pseudorreplicación</w:t>
            </w:r>
          </w:p>
        </w:tc>
      </w:tr>
      <w:tr w:rsidR="008C0EC2" w14:paraId="3EAF0B3B"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362F940" w14:textId="77777777" w:rsidR="008C0EC2" w:rsidRPr="00391BFA" w:rsidRDefault="00000000">
            <w:pPr>
              <w:rPr>
                <w:lang w:val="es-ES"/>
              </w:rPr>
            </w:pPr>
            <w:r w:rsidRPr="00391BFA">
              <w:rPr>
                <w:sz w:val="17"/>
                <w:lang w:val="es-ES"/>
              </w:rPr>
              <w:t>La enzima actúa sobre selenocisteína</w:t>
            </w:r>
          </w:p>
        </w:tc>
        <w:tc>
          <w:tcPr>
            <w:tcW w:w="4896" w:type="dxa"/>
          </w:tcPr>
          <w:p w14:paraId="37010F27"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b/>
                <w:sz w:val="17"/>
              </w:rPr>
              <w:t>No demostrado</w:t>
            </w:r>
            <w:r>
              <w:rPr>
                <w:sz w:val="17"/>
              </w:rPr>
              <w:t xml:space="preserve"> — requiere ensayo</w:t>
            </w:r>
          </w:p>
        </w:tc>
      </w:tr>
    </w:tbl>
    <w:p w14:paraId="5C4EBBE3" w14:textId="77777777" w:rsidR="008C0EC2" w:rsidRDefault="008C0EC2"/>
    <w:p w14:paraId="538ACB0E" w14:textId="77777777" w:rsidR="008C0EC2" w:rsidRDefault="008C0EC2"/>
    <w:p w14:paraId="0E9CBEE4" w14:textId="77777777" w:rsidR="008C0EC2" w:rsidRPr="00391BFA" w:rsidRDefault="00000000">
      <w:pPr>
        <w:pStyle w:val="Heading1"/>
        <w:rPr>
          <w:lang w:val="es-ES"/>
        </w:rPr>
      </w:pPr>
      <w:r w:rsidRPr="00391BFA">
        <w:rPr>
          <w:lang w:val="es-ES"/>
        </w:rPr>
        <w:t>8. Lo que falta para blindar la publicación</w:t>
      </w:r>
    </w:p>
    <w:p w14:paraId="2E53EC66" w14:textId="77777777" w:rsidR="008C0EC2" w:rsidRPr="00391BFA" w:rsidRDefault="00000000">
      <w:pPr>
        <w:rPr>
          <w:lang w:val="es-ES"/>
        </w:rPr>
      </w:pPr>
      <w:r w:rsidRPr="00391BFA">
        <w:rPr>
          <w:lang w:val="es-ES"/>
        </w:rPr>
        <w:t>Ordenado por relación entre lo que aporta y lo que cuesta.</w:t>
      </w:r>
    </w:p>
    <w:p w14:paraId="64A0C80A" w14:textId="77777777" w:rsidR="008C0EC2" w:rsidRPr="00391BFA" w:rsidRDefault="00000000">
      <w:pPr>
        <w:pStyle w:val="Heading2"/>
        <w:rPr>
          <w:lang w:val="es-ES"/>
        </w:rPr>
      </w:pPr>
      <w:r w:rsidRPr="00391BFA">
        <w:rPr>
          <w:lang w:val="es-ES"/>
        </w:rPr>
        <w:t>Prioridad alta — convierten afirmaciones parciales en afirmaciones blindadas</w:t>
      </w:r>
    </w:p>
    <w:p w14:paraId="07271050" w14:textId="77777777" w:rsidR="008C0EC2" w:rsidRPr="00391BFA" w:rsidRDefault="00000000">
      <w:pPr>
        <w:pStyle w:val="ListNumber"/>
        <w:rPr>
          <w:lang w:val="es-ES"/>
        </w:rPr>
      </w:pPr>
      <w:r w:rsidRPr="00391BFA">
        <w:rPr>
          <w:b/>
          <w:lang w:val="es-ES"/>
        </w:rPr>
        <w:t>tBLASTn genómico + sintenia en las embriofitas y rodofitas.</w:t>
      </w:r>
      <w:r w:rsidRPr="00391BFA">
        <w:rPr>
          <w:lang w:val="es-ES"/>
        </w:rPr>
        <w:t xml:space="preserve"> Es el que más rinde. Hoy la afirmación es "ausente en el proteoma"; con esto pasa a "ausente del genoma, y la región sinténica está ocupada por otra cosa". Convierte la pérdida en un resultado genómico. Requiere los ensamblados de </w:t>
      </w:r>
      <w:r w:rsidRPr="00391BFA">
        <w:rPr>
          <w:i/>
          <w:lang w:val="es-ES"/>
        </w:rPr>
        <w:t>A. thaliana</w:t>
      </w:r>
      <w:r w:rsidRPr="00391BFA">
        <w:rPr>
          <w:lang w:val="es-ES"/>
        </w:rPr>
        <w:t xml:space="preserve">, </w:t>
      </w:r>
      <w:r w:rsidRPr="00391BFA">
        <w:rPr>
          <w:i/>
          <w:lang w:val="es-ES"/>
        </w:rPr>
        <w:t>O. sativa</w:t>
      </w:r>
      <w:r w:rsidRPr="00391BFA">
        <w:rPr>
          <w:lang w:val="es-ES"/>
        </w:rPr>
        <w:t xml:space="preserve">, </w:t>
      </w:r>
      <w:r w:rsidRPr="00391BFA">
        <w:rPr>
          <w:i/>
          <w:lang w:val="es-ES"/>
        </w:rPr>
        <w:t>P. patens</w:t>
      </w:r>
      <w:r w:rsidRPr="00391BFA">
        <w:rPr>
          <w:lang w:val="es-ES"/>
        </w:rPr>
        <w:t xml:space="preserve">, </w:t>
      </w:r>
      <w:r w:rsidRPr="00391BFA">
        <w:rPr>
          <w:i/>
          <w:lang w:val="es-ES"/>
        </w:rPr>
        <w:t>M. polymorpha</w:t>
      </w:r>
      <w:r w:rsidRPr="00391BFA">
        <w:rPr>
          <w:lang w:val="es-ES"/>
        </w:rPr>
        <w:t xml:space="preserve">, </w:t>
      </w:r>
      <w:r w:rsidRPr="00391BFA">
        <w:rPr>
          <w:i/>
          <w:lang w:val="es-ES"/>
        </w:rPr>
        <w:t>C. merolae</w:t>
      </w:r>
      <w:r w:rsidRPr="00391BFA">
        <w:rPr>
          <w:lang w:val="es-ES"/>
        </w:rPr>
        <w:t xml:space="preserve">, </w:t>
      </w:r>
      <w:r w:rsidRPr="00391BFA">
        <w:rPr>
          <w:i/>
          <w:lang w:val="es-ES"/>
        </w:rPr>
        <w:t>G. sulphuraria</w:t>
      </w:r>
      <w:r w:rsidRPr="00391BFA">
        <w:rPr>
          <w:lang w:val="es-ES"/>
        </w:rPr>
        <w:t xml:space="preserve"> y los genes flanqueantes del locus de </w:t>
      </w:r>
      <w:r w:rsidRPr="00391BFA">
        <w:rPr>
          <w:i/>
          <w:lang w:val="es-ES"/>
        </w:rPr>
        <w:t>Chara</w:t>
      </w:r>
      <w:r w:rsidRPr="00391BFA">
        <w:rPr>
          <w:lang w:val="es-ES"/>
        </w:rPr>
        <w:t>/</w:t>
      </w:r>
      <w:r w:rsidRPr="00391BFA">
        <w:rPr>
          <w:i/>
          <w:lang w:val="es-ES"/>
        </w:rPr>
        <w:t>Klebsormidium</w:t>
      </w:r>
      <w:r w:rsidRPr="00391BFA">
        <w:rPr>
          <w:lang w:val="es-ES"/>
        </w:rPr>
        <w:t>.</w:t>
      </w:r>
    </w:p>
    <w:p w14:paraId="00A97707" w14:textId="77777777" w:rsidR="008C0EC2" w:rsidRPr="00391BFA" w:rsidRDefault="00000000">
      <w:pPr>
        <w:pStyle w:val="ListNumber"/>
        <w:rPr>
          <w:lang w:val="es-ES"/>
        </w:rPr>
      </w:pPr>
      <w:r w:rsidRPr="00391BFA">
        <w:rPr>
          <w:b/>
          <w:lang w:val="es-ES"/>
        </w:rPr>
        <w:t>Resolver el extremo 5' del gen curado.</w:t>
      </w:r>
      <w:r w:rsidRPr="00391BFA">
        <w:rPr>
          <w:lang w:val="es-ES"/>
        </w:rPr>
        <w:t xml:space="preserve"> StringTie (o Trinity en modo guiado) sobre </w:t>
      </w:r>
      <w:r w:rsidRPr="00391BFA">
        <w:rPr>
          <w:rFonts w:ascii="Consolas" w:hAnsi="Consolas"/>
          <w:sz w:val="18"/>
          <w:lang w:val="es-ES"/>
        </w:rPr>
        <w:t>SRR12973628</w:t>
      </w:r>
      <w:r w:rsidRPr="00391BFA">
        <w:rPr>
          <w:lang w:val="es-ES"/>
        </w:rPr>
        <w:t>, ensamblado del transcripto completo del locus. Cierra la única pieza floja de la curación y da el modelo definitivo para depositar.</w:t>
      </w:r>
    </w:p>
    <w:p w14:paraId="0047F03C" w14:textId="77777777" w:rsidR="008C0EC2" w:rsidRPr="00391BFA" w:rsidRDefault="00000000">
      <w:pPr>
        <w:pStyle w:val="ListNumber"/>
        <w:rPr>
          <w:lang w:val="es-ES"/>
        </w:rPr>
      </w:pPr>
      <w:r w:rsidRPr="00391BFA">
        <w:rPr>
          <w:b/>
          <w:lang w:val="es-ES"/>
        </w:rPr>
        <w:t>Verificar si los dinoflagelados largos son quimeras del mismo tipo.</w:t>
      </w:r>
      <w:r w:rsidRPr="00391BFA">
        <w:rPr>
          <w:lang w:val="es-ES"/>
        </w:rPr>
        <w:t xml:space="preserve"> </w:t>
      </w:r>
      <w:r w:rsidRPr="00391BFA">
        <w:rPr>
          <w:rFonts w:ascii="Consolas" w:hAnsi="Consolas"/>
          <w:sz w:val="18"/>
          <w:lang w:val="es-ES"/>
        </w:rPr>
        <w:t>A0A1Q9EC91</w:t>
      </w:r>
      <w:r w:rsidRPr="00391BFA">
        <w:rPr>
          <w:lang w:val="es-ES"/>
        </w:rPr>
        <w:t xml:space="preserve"> (3530 aa), </w:t>
      </w:r>
      <w:r w:rsidRPr="00391BFA">
        <w:rPr>
          <w:rFonts w:ascii="Consolas" w:hAnsi="Consolas"/>
          <w:sz w:val="18"/>
          <w:lang w:val="es-ES"/>
        </w:rPr>
        <w:t>A0A9P1CGG1</w:t>
      </w:r>
      <w:r w:rsidRPr="00391BFA">
        <w:rPr>
          <w:lang w:val="es-ES"/>
        </w:rPr>
        <w:t xml:space="preserve"> (1452 aa), </w:t>
      </w:r>
      <w:r w:rsidRPr="00391BFA">
        <w:rPr>
          <w:rFonts w:ascii="Consolas" w:hAnsi="Consolas"/>
          <w:sz w:val="18"/>
          <w:lang w:val="es-ES"/>
        </w:rPr>
        <w:t>A0ABD3PCK7</w:t>
      </w:r>
      <w:r w:rsidRPr="00391BFA">
        <w:rPr>
          <w:lang w:val="es-ES"/>
        </w:rPr>
        <w:t xml:space="preserve"> (721 aa), </w:t>
      </w:r>
      <w:r w:rsidRPr="00391BFA">
        <w:rPr>
          <w:rFonts w:ascii="Consolas" w:hAnsi="Consolas"/>
          <w:sz w:val="18"/>
          <w:lang w:val="es-ES"/>
        </w:rPr>
        <w:t>A0ABD3MQJ2</w:t>
      </w:r>
      <w:r w:rsidRPr="00391BFA">
        <w:rPr>
          <w:lang w:val="es-ES"/>
        </w:rPr>
        <w:t xml:space="preserve"> (666 aa). Si al menos dos de ellas resultan ser el mismo error de fusión, el caso de PABB004 deja de ser anecdótico y pasa a ser </w:t>
      </w:r>
      <w:r w:rsidRPr="00391BFA">
        <w:rPr>
          <w:b/>
          <w:lang w:val="es-ES"/>
        </w:rPr>
        <w:t>un patrón de error de anotación en genomas de algas</w:t>
      </w:r>
      <w:r w:rsidRPr="00391BFA">
        <w:rPr>
          <w:lang w:val="es-ES"/>
        </w:rPr>
        <w:t xml:space="preserve"> — que es un resultado publicable por sí solo.</w:t>
      </w:r>
    </w:p>
    <w:p w14:paraId="62D7D31C" w14:textId="77777777" w:rsidR="008C0EC2" w:rsidRPr="00391BFA" w:rsidRDefault="00000000">
      <w:pPr>
        <w:pStyle w:val="ListNumber"/>
        <w:rPr>
          <w:lang w:val="es-ES"/>
        </w:rPr>
      </w:pPr>
      <w:r w:rsidRPr="00391BFA">
        <w:rPr>
          <w:b/>
          <w:lang w:val="es-ES"/>
        </w:rPr>
        <w:t>Test de co-evolución que controle la filogenia.</w:t>
      </w:r>
      <w:r w:rsidRPr="00391BFA">
        <w:rPr>
          <w:lang w:val="es-ES"/>
        </w:rPr>
        <w:t xml:space="preserve"> Reemplazar el Fisher por especie por contrastes independientes de Felsenstein o el test de correlación de caracteres discretos de Pagel sobre un árbol de especies. Es lo que corresponde para la hipótesis del selenio, y es barato.</w:t>
      </w:r>
    </w:p>
    <w:p w14:paraId="0CCAD00C" w14:textId="77777777" w:rsidR="008C0EC2" w:rsidRDefault="00000000">
      <w:pPr>
        <w:pStyle w:val="Heading2"/>
      </w:pPr>
      <w:r>
        <w:lastRenderedPageBreak/>
        <w:t>Prioridad media — refuerzan el núcleo</w:t>
      </w:r>
    </w:p>
    <w:p w14:paraId="5B9C1587" w14:textId="77777777" w:rsidR="008C0EC2" w:rsidRPr="00391BFA" w:rsidRDefault="00000000">
      <w:pPr>
        <w:pStyle w:val="ListNumber"/>
        <w:rPr>
          <w:lang w:val="es-ES"/>
        </w:rPr>
      </w:pPr>
      <w:r w:rsidRPr="00391BFA">
        <w:rPr>
          <w:b/>
          <w:lang w:val="es-ES"/>
        </w:rPr>
        <w:t>Inventario real de selenoproteínas</w:t>
      </w:r>
      <w:r w:rsidRPr="00391BFA">
        <w:rPr>
          <w:lang w:val="es-ES"/>
        </w:rPr>
        <w:t xml:space="preserve"> por detección de horquillas SECIS en 3'UTR y TGA en marco, en las especies con y sin SCLY-like. Hoy la maquinaria Sec se mide por RBH de cuatro proteínas; esto mediría el selenoproteoma directamente.</w:t>
      </w:r>
    </w:p>
    <w:p w14:paraId="0DF2CC97" w14:textId="77777777" w:rsidR="008C0EC2" w:rsidRPr="00391BFA" w:rsidRDefault="00000000">
      <w:pPr>
        <w:pStyle w:val="ListNumber"/>
        <w:rPr>
          <w:lang w:val="es-ES"/>
        </w:rPr>
      </w:pPr>
      <w:r w:rsidRPr="00391BFA">
        <w:rPr>
          <w:b/>
          <w:lang w:val="es-ES"/>
        </w:rPr>
        <w:t>dN/dS real</w:t>
      </w:r>
      <w:r w:rsidRPr="00391BFA">
        <w:rPr>
          <w:lang w:val="es-ES"/>
        </w:rPr>
        <w:t xml:space="preserve"> con el pipeline que el documento de metodología describe: recuperar los CDS de las 66+ secuencias, alinear por codón con Pal2Nal, y correr CodeML en modelo de ramas con LRT. Es el análisis que faltaba, hecho de verdad. Es el más caro de la lista.</w:t>
      </w:r>
    </w:p>
    <w:p w14:paraId="369F6997" w14:textId="77777777" w:rsidR="008C0EC2" w:rsidRPr="00391BFA" w:rsidRDefault="00000000">
      <w:pPr>
        <w:pStyle w:val="ListNumber"/>
        <w:rPr>
          <w:lang w:val="es-ES"/>
        </w:rPr>
      </w:pPr>
      <w:r w:rsidRPr="00391BFA">
        <w:rPr>
          <w:b/>
          <w:lang w:val="es-ES"/>
        </w:rPr>
        <w:t>Sintenia del par histidinol-deshidrogenasa–SCLY en más genomas.</w:t>
      </w:r>
      <w:r w:rsidRPr="00391BFA">
        <w:rPr>
          <w:lang w:val="es-ES"/>
        </w:rPr>
        <w:t xml:space="preserve"> Si el par está conservado en varias clorofíceas, el argumento del error de anotación en PABB004 se vuelve mecánicamente obvio.</w:t>
      </w:r>
    </w:p>
    <w:p w14:paraId="1CA28A31" w14:textId="77777777" w:rsidR="008C0EC2" w:rsidRPr="00391BFA" w:rsidRDefault="00000000">
      <w:pPr>
        <w:pStyle w:val="ListNumber"/>
        <w:rPr>
          <w:lang w:val="es-ES"/>
        </w:rPr>
      </w:pPr>
      <w:r w:rsidRPr="00391BFA">
        <w:rPr>
          <w:b/>
          <w:lang w:val="es-ES"/>
        </w:rPr>
        <w:t>AlphaFold-multimer del homodímero.</w:t>
      </w:r>
      <w:r w:rsidRPr="00391BFA">
        <w:rPr>
          <w:lang w:val="es-ES"/>
        </w:rPr>
        <w:t xml:space="preserve"> Las cisteína desulfurasas funcionan como dímeros y el sitio activo está en la interfaz. Vale la pena ver si alguna de las seis posiciones discriminantes cae ahí.</w:t>
      </w:r>
    </w:p>
    <w:p w14:paraId="229C4674" w14:textId="77777777" w:rsidR="008C0EC2" w:rsidRPr="00391BFA" w:rsidRDefault="00000000">
      <w:pPr>
        <w:pStyle w:val="ListNumber"/>
        <w:rPr>
          <w:lang w:val="es-ES"/>
        </w:rPr>
      </w:pPr>
      <w:r w:rsidRPr="00391BFA">
        <w:rPr>
          <w:b/>
          <w:lang w:val="es-ES"/>
        </w:rPr>
        <w:t>Reconstrucción del estado ancestral del bucle catalítico.</w:t>
      </w:r>
      <w:r w:rsidRPr="00391BFA">
        <w:rPr>
          <w:lang w:val="es-ES"/>
        </w:rPr>
        <w:t xml:space="preserve"> Da el orden de aparición de la His y refuerza el argumento de que la firma es derivada y diagnóstica.</w:t>
      </w:r>
    </w:p>
    <w:p w14:paraId="6047A302" w14:textId="77777777" w:rsidR="008C0EC2" w:rsidRDefault="00000000">
      <w:pPr>
        <w:pStyle w:val="Heading2"/>
      </w:pPr>
      <w:r>
        <w:t>Prioridad baja — cierres finos</w:t>
      </w:r>
    </w:p>
    <w:p w14:paraId="37457FE2" w14:textId="77777777" w:rsidR="008C0EC2" w:rsidRPr="00391BFA" w:rsidRDefault="00000000">
      <w:pPr>
        <w:pStyle w:val="ListNumber"/>
        <w:rPr>
          <w:lang w:val="es-ES"/>
        </w:rPr>
      </w:pPr>
      <w:r w:rsidRPr="00391BFA">
        <w:rPr>
          <w:b/>
          <w:lang w:val="es-ES"/>
        </w:rPr>
        <w:t>Clasificar las 301 clase V sin asignar.</w:t>
      </w:r>
      <w:r w:rsidRPr="00391BFA">
        <w:rPr>
          <w:lang w:val="es-ES"/>
        </w:rPr>
        <w:t xml:space="preserve"> Puede haber más subfamilias ahí.</w:t>
      </w:r>
    </w:p>
    <w:p w14:paraId="0047DA1F" w14:textId="77777777" w:rsidR="008C0EC2" w:rsidRPr="00391BFA" w:rsidRDefault="00000000">
      <w:pPr>
        <w:pStyle w:val="ListNumber"/>
        <w:rPr>
          <w:lang w:val="es-ES"/>
        </w:rPr>
      </w:pPr>
      <w:r w:rsidRPr="00391BFA">
        <w:rPr>
          <w:b/>
          <w:lang w:val="es-ES"/>
        </w:rPr>
        <w:t>Estructura de intrones comparada</w:t>
      </w:r>
      <w:r w:rsidRPr="00391BFA">
        <w:rPr>
          <w:lang w:val="es-ES"/>
        </w:rPr>
        <w:t xml:space="preserve"> PABB004 / NREL 46B-D3 / </w:t>
      </w:r>
      <w:r w:rsidRPr="00391BFA">
        <w:rPr>
          <w:i/>
          <w:lang w:val="es-ES"/>
        </w:rPr>
        <w:t>Chlamydomonas</w:t>
      </w:r>
      <w:r w:rsidRPr="00391BFA">
        <w:rPr>
          <w:lang w:val="es-ES"/>
        </w:rPr>
        <w:t xml:space="preserve"> en el locus SCLY.</w:t>
      </w:r>
    </w:p>
    <w:p w14:paraId="5F8782A5" w14:textId="77777777" w:rsidR="008C0EC2" w:rsidRPr="00391BFA" w:rsidRDefault="00000000">
      <w:pPr>
        <w:pStyle w:val="ListNumber"/>
        <w:rPr>
          <w:lang w:val="es-ES"/>
        </w:rPr>
      </w:pPr>
      <w:r w:rsidRPr="00391BFA">
        <w:rPr>
          <w:b/>
          <w:lang w:val="es-ES"/>
        </w:rPr>
        <w:t>Verificar la identidad de `3LVK`</w:t>
      </w:r>
      <w:r w:rsidRPr="00391BFA">
        <w:rPr>
          <w:lang w:val="es-ES"/>
        </w:rPr>
        <w:t xml:space="preserve"> si se lo sigue citando — no se comprobó.</w:t>
      </w:r>
    </w:p>
    <w:p w14:paraId="6CABD44C" w14:textId="77777777" w:rsidR="008C0EC2" w:rsidRPr="00391BFA" w:rsidRDefault="00000000">
      <w:pPr>
        <w:pStyle w:val="ListNumber"/>
        <w:rPr>
          <w:lang w:val="es-ES"/>
        </w:rPr>
      </w:pPr>
      <w:r w:rsidRPr="00391BFA">
        <w:rPr>
          <w:b/>
          <w:lang w:val="es-ES"/>
        </w:rPr>
        <w:t>Aplicar las 22 correcciones</w:t>
      </w:r>
      <w:r w:rsidRPr="00391BFA">
        <w:rPr>
          <w:lang w:val="es-ES"/>
        </w:rPr>
        <w:t xml:space="preserve"> al texto del Google Doc.</w:t>
      </w:r>
    </w:p>
    <w:p w14:paraId="16FC6677" w14:textId="77777777" w:rsidR="008C0EC2" w:rsidRPr="00391BFA" w:rsidRDefault="00000000">
      <w:pPr>
        <w:pStyle w:val="Heading2"/>
        <w:rPr>
          <w:lang w:val="es-ES"/>
        </w:rPr>
      </w:pPr>
      <w:r w:rsidRPr="00391BFA">
        <w:rPr>
          <w:lang w:val="es-ES"/>
        </w:rPr>
        <w:t>Lo que NO hay que seguir intentando</w:t>
      </w:r>
    </w:p>
    <w:p w14:paraId="6BF3AAA3" w14:textId="77777777" w:rsidR="008C0EC2" w:rsidRPr="00391BFA" w:rsidRDefault="00000000">
      <w:pPr>
        <w:pStyle w:val="ListBullet"/>
        <w:rPr>
          <w:lang w:val="es-ES"/>
        </w:rPr>
      </w:pPr>
      <w:r w:rsidRPr="00391BFA">
        <w:rPr>
          <w:b/>
          <w:lang w:val="es-ES"/>
        </w:rPr>
        <w:t>Docking de Cys vs Sec.</w:t>
      </w:r>
      <w:r w:rsidRPr="00391BFA">
        <w:rPr>
          <w:lang w:val="es-ES"/>
        </w:rPr>
        <w:t xml:space="preserve"> No resuelve la pregunta, por física del método, no por implementación.</w:t>
      </w:r>
    </w:p>
    <w:p w14:paraId="7DE60D06" w14:textId="77777777" w:rsidR="008C0EC2" w:rsidRDefault="00000000">
      <w:pPr>
        <w:pStyle w:val="ListBullet"/>
      </w:pPr>
      <w:r>
        <w:rPr>
          <w:b/>
        </w:rPr>
        <w:t>Rankear ortólogos por distancia Cys-SG → Se</w:t>
      </w:r>
      <w:r>
        <w:t xml:space="preserve"> sobre modelos apo de AlphaFold.</w:t>
      </w:r>
    </w:p>
    <w:p w14:paraId="7D8E88E6" w14:textId="77777777" w:rsidR="008C0EC2" w:rsidRPr="00391BFA" w:rsidRDefault="00000000">
      <w:pPr>
        <w:pStyle w:val="ListBullet"/>
        <w:rPr>
          <w:lang w:val="es-ES"/>
        </w:rPr>
      </w:pPr>
      <w:r w:rsidRPr="00391BFA">
        <w:rPr>
          <w:b/>
          <w:lang w:val="es-ES"/>
        </w:rPr>
        <w:t>Cualquier análisis de conservación sobre `MSA_73_panalgal.fasta`.</w:t>
      </w:r>
    </w:p>
    <w:p w14:paraId="6026EB25" w14:textId="77777777" w:rsidR="008C0EC2" w:rsidRPr="00391BFA" w:rsidRDefault="008C0EC2">
      <w:pPr>
        <w:rPr>
          <w:lang w:val="es-ES"/>
        </w:rPr>
      </w:pPr>
    </w:p>
    <w:p w14:paraId="5017D391" w14:textId="77777777" w:rsidR="008C0EC2" w:rsidRPr="00391BFA" w:rsidRDefault="00000000">
      <w:pPr>
        <w:pStyle w:val="Heading1"/>
        <w:rPr>
          <w:lang w:val="es-ES"/>
        </w:rPr>
      </w:pPr>
      <w:r w:rsidRPr="00391BFA">
        <w:rPr>
          <w:lang w:val="es-ES"/>
        </w:rPr>
        <w:t>9. Opciones de publicación</w:t>
      </w:r>
    </w:p>
    <w:p w14:paraId="3D1C3572" w14:textId="77777777" w:rsidR="008C0EC2" w:rsidRPr="00391BFA" w:rsidRDefault="00000000">
      <w:pPr>
        <w:pStyle w:val="Heading2"/>
        <w:rPr>
          <w:lang w:val="es-ES"/>
        </w:rPr>
      </w:pPr>
      <w:r w:rsidRPr="00391BFA">
        <w:rPr>
          <w:lang w:val="es-ES"/>
        </w:rPr>
        <w:t>Opción A — El clado SCLY-like en algas (recomendada)</w:t>
      </w:r>
    </w:p>
    <w:p w14:paraId="7E3B3319" w14:textId="77777777" w:rsidR="008C0EC2" w:rsidRPr="00391BFA" w:rsidRDefault="00000000">
      <w:pPr>
        <w:rPr>
          <w:lang w:val="es-ES"/>
        </w:rPr>
      </w:pPr>
      <w:r w:rsidRPr="00391BFA">
        <w:rPr>
          <w:b/>
          <w:lang w:val="es-ES"/>
        </w:rPr>
        <w:t>Qué es.</w:t>
      </w:r>
      <w:r w:rsidRPr="00391BFA">
        <w:rPr>
          <w:lang w:val="es-ES"/>
        </w:rPr>
        <w:t xml:space="preserve"> Primera descripción sistemática de un tercer clado de cisteína desulfurasas clase V en algas, con firma diagnóstica invariante, distribución pan-algal, dos pérdidas independientes y un caso de curación génica validado por RNA-seq.</w:t>
      </w:r>
    </w:p>
    <w:p w14:paraId="40243A5F" w14:textId="77777777" w:rsidR="008C0EC2" w:rsidRPr="00391BFA" w:rsidRDefault="00000000">
      <w:pPr>
        <w:rPr>
          <w:lang w:val="es-ES"/>
        </w:rPr>
      </w:pPr>
      <w:r w:rsidRPr="00391BFA">
        <w:rPr>
          <w:b/>
          <w:lang w:val="es-ES"/>
        </w:rPr>
        <w:t>Qué tiene ya.</w:t>
      </w:r>
      <w:r w:rsidRPr="00391BFA">
        <w:rPr>
          <w:lang w:val="es-ES"/>
        </w:rPr>
        <w:t xml:space="preserve"> Todo lo de §7 marcado como blindado. Es, en volumen y en solidez, un paper completo.</w:t>
      </w:r>
    </w:p>
    <w:p w14:paraId="48E024C1" w14:textId="77777777" w:rsidR="008C0EC2" w:rsidRPr="00391BFA" w:rsidRDefault="00000000">
      <w:pPr>
        <w:rPr>
          <w:lang w:val="es-ES"/>
        </w:rPr>
      </w:pPr>
      <w:r w:rsidRPr="00391BFA">
        <w:rPr>
          <w:b/>
          <w:lang w:val="es-ES"/>
        </w:rPr>
        <w:t>Qué le falta.</w:t>
      </w:r>
      <w:r w:rsidRPr="00391BFA">
        <w:rPr>
          <w:lang w:val="es-ES"/>
        </w:rPr>
        <w:t xml:space="preserve"> Los puntos 1 a 4 de §8. Con el 1 y el 2 ya alcanza para enviar.</w:t>
      </w:r>
    </w:p>
    <w:p w14:paraId="59EEDC93" w14:textId="77777777" w:rsidR="008C0EC2" w:rsidRPr="00391BFA" w:rsidRDefault="00000000">
      <w:pPr>
        <w:rPr>
          <w:lang w:val="es-ES"/>
        </w:rPr>
      </w:pPr>
      <w:r>
        <w:rPr>
          <w:b/>
        </w:rPr>
        <w:t>Dónde.</w:t>
      </w:r>
      <w:r>
        <w:t xml:space="preserve"> </w:t>
      </w:r>
      <w:r>
        <w:rPr>
          <w:i/>
        </w:rPr>
        <w:t>BMC Genomics</w:t>
      </w:r>
      <w:r>
        <w:t xml:space="preserve">, </w:t>
      </w:r>
      <w:r>
        <w:rPr>
          <w:i/>
        </w:rPr>
        <w:t>Genome Biology and Evolution</w:t>
      </w:r>
      <w:r>
        <w:t xml:space="preserve">, </w:t>
      </w:r>
      <w:r>
        <w:rPr>
          <w:i/>
        </w:rPr>
        <w:t>Frontiers in Plant Science</w:t>
      </w:r>
      <w:r>
        <w:t xml:space="preserve"> (sección Marine and Freshwater Plants), </w:t>
      </w:r>
      <w:r>
        <w:rPr>
          <w:i/>
        </w:rPr>
        <w:t>Algal Research</w:t>
      </w:r>
      <w:r>
        <w:t xml:space="preserve">. </w:t>
      </w:r>
      <w:r w:rsidRPr="00391BFA">
        <w:rPr>
          <w:b/>
          <w:lang w:val="es-ES"/>
        </w:rPr>
        <w:t>GBE</w:t>
      </w:r>
      <w:r w:rsidRPr="00391BFA">
        <w:rPr>
          <w:lang w:val="es-ES"/>
        </w:rPr>
        <w:t xml:space="preserve"> es el mejor encaje si se incluye la parte de pérdidas independientes y tasas; </w:t>
      </w:r>
      <w:r w:rsidRPr="00391BFA">
        <w:rPr>
          <w:b/>
          <w:lang w:val="es-ES"/>
        </w:rPr>
        <w:t>BMC Genomics</w:t>
      </w:r>
      <w:r w:rsidRPr="00391BFA">
        <w:rPr>
          <w:lang w:val="es-ES"/>
        </w:rPr>
        <w:t xml:space="preserve"> si el eje es la curación génica y el barrido.</w:t>
      </w:r>
    </w:p>
    <w:p w14:paraId="3B90D2C9" w14:textId="77777777" w:rsidR="008C0EC2" w:rsidRDefault="00000000">
      <w:r>
        <w:rPr>
          <w:b/>
        </w:rPr>
        <w:t>Figuras propuestas, en orden:</w:t>
      </w:r>
    </w:p>
    <w:p w14:paraId="3DF34BA0" w14:textId="77777777" w:rsidR="008C0EC2" w:rsidRPr="00391BFA" w:rsidRDefault="00000000">
      <w:pPr>
        <w:pStyle w:val="ListNumber"/>
        <w:rPr>
          <w:lang w:val="es-ES"/>
        </w:rPr>
      </w:pPr>
      <w:r w:rsidRPr="00391BFA">
        <w:rPr>
          <w:lang w:val="es-ES"/>
        </w:rPr>
        <w:t>Asignación de familia por el bucle catalítico (</w:t>
      </w:r>
      <w:r w:rsidRPr="00391BFA">
        <w:rPr>
          <w:rFonts w:ascii="Consolas" w:hAnsi="Consolas"/>
          <w:sz w:val="18"/>
          <w:lang w:val="es-ES"/>
        </w:rPr>
        <w:t>fig_asignacion_familia_NFS.png</w:t>
      </w:r>
      <w:r w:rsidRPr="00391BFA">
        <w:rPr>
          <w:lang w:val="es-ES"/>
        </w:rPr>
        <w:t>)</w:t>
      </w:r>
    </w:p>
    <w:p w14:paraId="39A91477" w14:textId="77777777" w:rsidR="008C0EC2" w:rsidRPr="00391BFA" w:rsidRDefault="00000000">
      <w:pPr>
        <w:pStyle w:val="ListNumber"/>
        <w:rPr>
          <w:lang w:val="es-ES"/>
        </w:rPr>
      </w:pPr>
      <w:r w:rsidRPr="00391BFA">
        <w:rPr>
          <w:lang w:val="es-ES"/>
        </w:rPr>
        <w:t>Árbol de máxima verosimilitud de los tres clados (</w:t>
      </w:r>
      <w:r w:rsidRPr="00391BFA">
        <w:rPr>
          <w:rFonts w:ascii="Consolas" w:hAnsi="Consolas"/>
          <w:sz w:val="18"/>
          <w:lang w:val="es-ES"/>
        </w:rPr>
        <w:t>fig_arbol_desulfurasas.png</w:t>
      </w:r>
      <w:r w:rsidRPr="00391BFA">
        <w:rPr>
          <w:lang w:val="es-ES"/>
        </w:rPr>
        <w:t>)</w:t>
      </w:r>
    </w:p>
    <w:p w14:paraId="2682DCD1" w14:textId="77777777" w:rsidR="008C0EC2" w:rsidRPr="00391BFA" w:rsidRDefault="00000000">
      <w:pPr>
        <w:pStyle w:val="ListNumber"/>
        <w:rPr>
          <w:lang w:val="es-ES"/>
        </w:rPr>
      </w:pPr>
      <w:r w:rsidRPr="00391BFA">
        <w:rPr>
          <w:lang w:val="es-ES"/>
        </w:rPr>
        <w:lastRenderedPageBreak/>
        <w:t>Distribución por linaje y pérdidas (</w:t>
      </w:r>
      <w:r w:rsidRPr="00391BFA">
        <w:rPr>
          <w:rFonts w:ascii="Consolas" w:hAnsi="Consolas"/>
          <w:sz w:val="18"/>
          <w:lang w:val="es-ES"/>
        </w:rPr>
        <w:t>fig_distribucion_desulfurasas.png</w:t>
      </w:r>
      <w:r w:rsidRPr="00391BFA">
        <w:rPr>
          <w:lang w:val="es-ES"/>
        </w:rPr>
        <w:t>)</w:t>
      </w:r>
    </w:p>
    <w:p w14:paraId="055E11A0" w14:textId="77777777" w:rsidR="008C0EC2" w:rsidRDefault="00000000">
      <w:pPr>
        <w:pStyle w:val="ListNumber"/>
      </w:pPr>
      <w:r>
        <w:t>Locus curado y evidencia de RNA-seq (</w:t>
      </w:r>
      <w:r>
        <w:rPr>
          <w:rFonts w:ascii="Consolas" w:hAnsi="Consolas"/>
          <w:sz w:val="18"/>
        </w:rPr>
        <w:t>fig_locus_curado.png</w:t>
      </w:r>
      <w:r>
        <w:t>)</w:t>
      </w:r>
    </w:p>
    <w:p w14:paraId="04D6D67C" w14:textId="77777777" w:rsidR="008C0EC2" w:rsidRPr="00391BFA" w:rsidRDefault="00000000">
      <w:pPr>
        <w:pStyle w:val="ListNumber"/>
        <w:rPr>
          <w:lang w:val="es-ES"/>
        </w:rPr>
      </w:pPr>
      <w:r w:rsidRPr="00391BFA">
        <w:rPr>
          <w:lang w:val="es-ES"/>
        </w:rPr>
        <w:t>Conservación y posiciones discriminantes (</w:t>
      </w:r>
      <w:r w:rsidRPr="00391BFA">
        <w:rPr>
          <w:rFonts w:ascii="Consolas" w:hAnsi="Consolas"/>
          <w:sz w:val="18"/>
          <w:lang w:val="es-ES"/>
        </w:rPr>
        <w:t>fig_conservacion_sdp.png</w:t>
      </w:r>
      <w:r w:rsidRPr="00391BFA">
        <w:rPr>
          <w:lang w:val="es-ES"/>
        </w:rPr>
        <w:t>)</w:t>
      </w:r>
    </w:p>
    <w:p w14:paraId="40EEFEBB" w14:textId="77777777" w:rsidR="008C0EC2" w:rsidRDefault="00000000">
      <w:pPr>
        <w:pStyle w:val="ListNumber"/>
      </w:pPr>
      <w:r>
        <w:t>Sitio activo y subsitio de especificidad (</w:t>
      </w:r>
      <w:r>
        <w:rPr>
          <w:rFonts w:ascii="Consolas" w:hAnsi="Consolas"/>
          <w:sz w:val="18"/>
        </w:rPr>
        <w:t>fig_subsitio_transferencia.png</w:t>
      </w:r>
      <w:r>
        <w:t>)</w:t>
      </w:r>
    </w:p>
    <w:p w14:paraId="2BAF21CE" w14:textId="77777777" w:rsidR="008C0EC2" w:rsidRPr="00391BFA" w:rsidRDefault="00000000">
      <w:pPr>
        <w:pStyle w:val="ListNumber"/>
        <w:rPr>
          <w:lang w:val="es-ES"/>
        </w:rPr>
      </w:pPr>
      <w:r w:rsidRPr="00391BFA">
        <w:rPr>
          <w:lang w:val="es-ES"/>
        </w:rPr>
        <w:t>Suplementaria: localización (</w:t>
      </w:r>
      <w:r w:rsidRPr="00391BFA">
        <w:rPr>
          <w:rFonts w:ascii="Consolas" w:hAnsi="Consolas"/>
          <w:sz w:val="18"/>
          <w:lang w:val="es-ES"/>
        </w:rPr>
        <w:t>fig_localizacion_scly.png</w:t>
      </w:r>
      <w:r w:rsidRPr="00391BFA">
        <w:rPr>
          <w:lang w:val="es-ES"/>
        </w:rPr>
        <w:t>)</w:t>
      </w:r>
    </w:p>
    <w:p w14:paraId="78B09574" w14:textId="77777777" w:rsidR="008C0EC2" w:rsidRDefault="00000000">
      <w:pPr>
        <w:pStyle w:val="ListNumber"/>
      </w:pPr>
      <w:r>
        <w:t>Suplementaria: tasas relativas (</w:t>
      </w:r>
      <w:r>
        <w:rPr>
          <w:rFonts w:ascii="Consolas" w:hAnsi="Consolas"/>
          <w:sz w:val="18"/>
        </w:rPr>
        <w:t>fig_tasas_relativas.png</w:t>
      </w:r>
      <w:r>
        <w:t>)</w:t>
      </w:r>
    </w:p>
    <w:p w14:paraId="29627722" w14:textId="77777777" w:rsidR="008C0EC2" w:rsidRPr="00391BFA" w:rsidRDefault="00000000">
      <w:pPr>
        <w:rPr>
          <w:lang w:val="es-ES"/>
        </w:rPr>
      </w:pPr>
      <w:r w:rsidRPr="00391BFA">
        <w:rPr>
          <w:b/>
          <w:lang w:val="es-ES"/>
        </w:rPr>
        <w:t>El riesgo a anticipar.</w:t>
      </w:r>
      <w:r w:rsidRPr="00391BFA">
        <w:rPr>
          <w:lang w:val="es-ES"/>
        </w:rPr>
        <w:t xml:space="preserve"> Un revisor va a pedir evidencia funcional. La respuesta tiene que estar en la discusión, no improvisada: el trabajo es explícitamente una caracterización comparativa y genómica, la actividad queda planteada como la continuación experimental, y la curación validada por RNA-seq es el ancla experimental que sí se aporta.</w:t>
      </w:r>
    </w:p>
    <w:p w14:paraId="41810DB9" w14:textId="77777777" w:rsidR="008C0EC2" w:rsidRPr="00391BFA" w:rsidRDefault="00000000">
      <w:pPr>
        <w:pStyle w:val="Heading2"/>
        <w:rPr>
          <w:lang w:val="es-ES"/>
        </w:rPr>
      </w:pPr>
      <w:r w:rsidRPr="00391BFA">
        <w:rPr>
          <w:lang w:val="es-ES"/>
        </w:rPr>
        <w:t>Opción B — Inventario de maquinaria Fe-S (ISC vs SUF) en microalgas</w:t>
      </w:r>
    </w:p>
    <w:p w14:paraId="0EF838CB" w14:textId="77777777" w:rsidR="008C0EC2" w:rsidRPr="00391BFA" w:rsidRDefault="00000000">
      <w:pPr>
        <w:rPr>
          <w:lang w:val="es-ES"/>
        </w:rPr>
      </w:pPr>
      <w:r w:rsidRPr="00391BFA">
        <w:rPr>
          <w:b/>
          <w:lang w:val="es-ES"/>
        </w:rPr>
        <w:t>Qué es.</w:t>
      </w:r>
      <w:r w:rsidRPr="00391BFA">
        <w:rPr>
          <w:lang w:val="es-ES"/>
        </w:rPr>
        <w:t xml:space="preserve"> El mismo pipeline aplicado a la vía completa: NFS1/NFS2, ISD11, frataxina, SUFB/C/D, scaffolds. Encaja con la línea del laboratorio de Casati.</w:t>
      </w:r>
    </w:p>
    <w:p w14:paraId="63A77B44" w14:textId="77777777" w:rsidR="008C0EC2" w:rsidRPr="00391BFA" w:rsidRDefault="00000000">
      <w:pPr>
        <w:rPr>
          <w:lang w:val="es-ES"/>
        </w:rPr>
      </w:pPr>
      <w:r w:rsidRPr="00391BFA">
        <w:rPr>
          <w:b/>
          <w:lang w:val="es-ES"/>
        </w:rPr>
        <w:t>Ventaja.</w:t>
      </w:r>
      <w:r w:rsidRPr="00391BFA">
        <w:rPr>
          <w:lang w:val="es-ES"/>
        </w:rPr>
        <w:t xml:space="preserve"> Reaprovecha toda la infraestructura ya construida; es un trabajo de catálogo con bajo riesgo de rechazo.</w:t>
      </w:r>
    </w:p>
    <w:p w14:paraId="2B30D066" w14:textId="77777777" w:rsidR="008C0EC2" w:rsidRPr="00391BFA" w:rsidRDefault="00000000">
      <w:pPr>
        <w:rPr>
          <w:lang w:val="es-ES"/>
        </w:rPr>
      </w:pPr>
      <w:r w:rsidRPr="00391BFA">
        <w:rPr>
          <w:b/>
          <w:lang w:val="es-ES"/>
        </w:rPr>
        <w:t>Desventaja.</w:t>
      </w:r>
      <w:r w:rsidRPr="00391BFA">
        <w:rPr>
          <w:lang w:val="es-ES"/>
        </w:rPr>
        <w:t xml:space="preserve"> Menos novedad. Y el hallazgo de SCLY-like quedaría enterrado como un detalle.</w:t>
      </w:r>
    </w:p>
    <w:p w14:paraId="0AB793BA" w14:textId="77777777" w:rsidR="008C0EC2" w:rsidRPr="00391BFA" w:rsidRDefault="00000000">
      <w:pPr>
        <w:pStyle w:val="Heading2"/>
        <w:rPr>
          <w:lang w:val="es-ES"/>
        </w:rPr>
      </w:pPr>
      <w:r w:rsidRPr="00391BFA">
        <w:rPr>
          <w:lang w:val="es-ES"/>
        </w:rPr>
        <w:t>Opción C — Nota metodológica sobre asignación incorrecta de familia en genomas de algas</w:t>
      </w:r>
    </w:p>
    <w:p w14:paraId="3FAB02AA" w14:textId="77777777" w:rsidR="008C0EC2" w:rsidRPr="00391BFA" w:rsidRDefault="00000000">
      <w:pPr>
        <w:rPr>
          <w:lang w:val="es-ES"/>
        </w:rPr>
      </w:pPr>
      <w:r w:rsidRPr="00391BFA">
        <w:rPr>
          <w:b/>
          <w:lang w:val="es-ES"/>
        </w:rPr>
        <w:t>Qué es.</w:t>
      </w:r>
      <w:r w:rsidRPr="00391BFA">
        <w:rPr>
          <w:lang w:val="es-ES"/>
        </w:rPr>
        <w:t xml:space="preserve"> Corto. El caso de </w:t>
      </w:r>
      <w:r w:rsidRPr="00391BFA">
        <w:rPr>
          <w:rFonts w:ascii="Consolas" w:hAnsi="Consolas"/>
          <w:sz w:val="18"/>
          <w:lang w:val="es-ES"/>
        </w:rPr>
        <w:t>PNW80545.1</w:t>
      </w:r>
      <w:r w:rsidRPr="00391BFA">
        <w:rPr>
          <w:lang w:val="es-ES"/>
        </w:rPr>
        <w:t xml:space="preserve"> mal anotada como NFS2 en AlgaePath, la propagación del error, el ORF quimérico de PABB004, y las 9 de 67 secuencias con longitud aberrante como evidencia de un problema sistemático.</w:t>
      </w:r>
    </w:p>
    <w:p w14:paraId="1E920129" w14:textId="77777777" w:rsidR="008C0EC2" w:rsidRPr="00391BFA" w:rsidRDefault="00000000">
      <w:pPr>
        <w:rPr>
          <w:lang w:val="es-ES"/>
        </w:rPr>
      </w:pPr>
      <w:r w:rsidRPr="00391BFA">
        <w:rPr>
          <w:b/>
          <w:lang w:val="es-ES"/>
        </w:rPr>
        <w:t>Ventaja.</w:t>
      </w:r>
      <w:r w:rsidRPr="00391BFA">
        <w:rPr>
          <w:lang w:val="es-ES"/>
        </w:rPr>
        <w:t xml:space="preserve"> Rápido de escribir, alto valor práctico para la comunidad.</w:t>
      </w:r>
    </w:p>
    <w:p w14:paraId="62434DB8" w14:textId="77777777" w:rsidR="008C0EC2" w:rsidRPr="00391BFA" w:rsidRDefault="00000000">
      <w:pPr>
        <w:rPr>
          <w:lang w:val="es-ES"/>
        </w:rPr>
      </w:pPr>
      <w:r w:rsidRPr="00391BFA">
        <w:rPr>
          <w:b/>
          <w:lang w:val="es-ES"/>
        </w:rPr>
        <w:t>Desventaja.</w:t>
      </w:r>
      <w:r w:rsidRPr="00391BFA">
        <w:rPr>
          <w:lang w:val="es-ES"/>
        </w:rPr>
        <w:t xml:space="preserve"> Bajo impacto, y consume el material de la Opción A.</w:t>
      </w:r>
    </w:p>
    <w:p w14:paraId="4B098527" w14:textId="77777777" w:rsidR="008C0EC2" w:rsidRDefault="00000000">
      <w:r>
        <w:rPr>
          <w:b/>
        </w:rPr>
        <w:t>Dónde.</w:t>
      </w:r>
      <w:r>
        <w:t xml:space="preserve"> </w:t>
      </w:r>
      <w:r>
        <w:rPr>
          <w:i/>
        </w:rPr>
        <w:t>Bioinformatics Advances</w:t>
      </w:r>
      <w:r>
        <w:t xml:space="preserve">, </w:t>
      </w:r>
      <w:r>
        <w:rPr>
          <w:i/>
        </w:rPr>
        <w:t>Database</w:t>
      </w:r>
      <w:r>
        <w:t xml:space="preserve">, </w:t>
      </w:r>
      <w:r>
        <w:rPr>
          <w:i/>
        </w:rPr>
        <w:t>BMC Research Notes</w:t>
      </w:r>
      <w:r>
        <w:t>.</w:t>
      </w:r>
    </w:p>
    <w:p w14:paraId="474605EE" w14:textId="77777777" w:rsidR="008C0EC2" w:rsidRPr="00391BFA" w:rsidRDefault="00000000">
      <w:pPr>
        <w:pStyle w:val="Heading2"/>
        <w:rPr>
          <w:lang w:val="es-ES"/>
        </w:rPr>
      </w:pPr>
      <w:r w:rsidRPr="00391BFA">
        <w:rPr>
          <w:lang w:val="es-ES"/>
        </w:rPr>
        <w:t>Recomendación</w:t>
      </w:r>
    </w:p>
    <w:p w14:paraId="645E505A" w14:textId="77777777" w:rsidR="008C0EC2" w:rsidRPr="00391BFA" w:rsidRDefault="00000000">
      <w:pPr>
        <w:rPr>
          <w:lang w:val="es-ES"/>
        </w:rPr>
      </w:pPr>
      <w:r w:rsidRPr="00391BFA">
        <w:rPr>
          <w:b/>
          <w:lang w:val="es-ES"/>
        </w:rPr>
        <w:t>A</w:t>
      </w:r>
      <w:r w:rsidRPr="00391BFA">
        <w:rPr>
          <w:lang w:val="es-ES"/>
        </w:rPr>
        <w:t>, y ejecutar antes los puntos 1 y 2 de §8. El punto 3 (dinoflagelados quiméricos), si da positivo, se puede incorporar a A como una sección o publicar después como C ampliada.</w:t>
      </w:r>
    </w:p>
    <w:p w14:paraId="113D852F" w14:textId="77777777" w:rsidR="008C0EC2" w:rsidRPr="00391BFA" w:rsidRDefault="00000000">
      <w:pPr>
        <w:rPr>
          <w:lang w:val="es-ES"/>
        </w:rPr>
      </w:pPr>
      <w:r w:rsidRPr="00391BFA">
        <w:rPr>
          <w:b/>
          <w:lang w:val="es-ES"/>
        </w:rPr>
        <w:t>No combinar esta línea con la de SINA/RMA-RNF5.</w:t>
      </w:r>
      <w:r w:rsidRPr="00391BFA">
        <w:rPr>
          <w:lang w:val="es-ES"/>
        </w:rPr>
        <w:t xml:space="preserve"> Son dos historias distintas, con dos audiencias distintas, y cada una tiene volumen propio.</w:t>
      </w:r>
    </w:p>
    <w:p w14:paraId="002B128D" w14:textId="77777777" w:rsidR="008C0EC2" w:rsidRPr="00391BFA" w:rsidRDefault="008C0EC2">
      <w:pPr>
        <w:rPr>
          <w:lang w:val="es-ES"/>
        </w:rPr>
      </w:pPr>
    </w:p>
    <w:p w14:paraId="0F7360BA" w14:textId="77777777" w:rsidR="008C0EC2" w:rsidRDefault="00000000">
      <w:pPr>
        <w:pStyle w:val="Heading1"/>
      </w:pPr>
      <w:r>
        <w:t>10. Índice de archivos</w:t>
      </w:r>
    </w:p>
    <w:p w14:paraId="58526735" w14:textId="77777777" w:rsidR="008C0EC2" w:rsidRDefault="00000000">
      <w:r>
        <w:rPr>
          <w:b/>
        </w:rPr>
        <w:t>Figuras generadas</w:t>
      </w:r>
    </w:p>
    <w:tbl>
      <w:tblPr>
        <w:tblStyle w:val="LightGrid-Accent1"/>
        <w:tblW w:w="0" w:type="auto"/>
        <w:jc w:val="center"/>
        <w:tblLook w:val="04A0" w:firstRow="1" w:lastRow="0" w:firstColumn="1" w:lastColumn="0" w:noHBand="0" w:noVBand="1"/>
      </w:tblPr>
      <w:tblGrid>
        <w:gridCol w:w="4896"/>
        <w:gridCol w:w="4896"/>
      </w:tblGrid>
      <w:tr w:rsidR="008C0EC2" w14:paraId="6CB3E34C"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4E47D4" w14:textId="77777777" w:rsidR="008C0EC2" w:rsidRDefault="00000000">
            <w:r>
              <w:rPr>
                <w:sz w:val="17"/>
              </w:rPr>
              <w:t>Archivo</w:t>
            </w:r>
          </w:p>
        </w:tc>
        <w:tc>
          <w:tcPr>
            <w:tcW w:w="4896" w:type="dxa"/>
          </w:tcPr>
          <w:p w14:paraId="122691CB"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Contenido</w:t>
            </w:r>
          </w:p>
        </w:tc>
      </w:tr>
      <w:tr w:rsidR="008C0EC2" w:rsidRPr="00391BFA" w14:paraId="640DFEE8"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C23D08C" w14:textId="77777777" w:rsidR="008C0EC2" w:rsidRDefault="00000000">
            <w:r>
              <w:rPr>
                <w:rFonts w:ascii="Consolas" w:hAnsi="Consolas"/>
                <w:sz w:val="17"/>
              </w:rPr>
              <w:t>fig_asignacion_familia_NFS.png</w:t>
            </w:r>
          </w:p>
        </w:tc>
        <w:tc>
          <w:tcPr>
            <w:tcW w:w="4896" w:type="dxa"/>
          </w:tcPr>
          <w:p w14:paraId="1504611B"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bucles catalíticos de los tres grupos</w:t>
            </w:r>
          </w:p>
        </w:tc>
      </w:tr>
      <w:tr w:rsidR="008C0EC2" w:rsidRPr="00391BFA" w14:paraId="07262820"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7F8E9AB" w14:textId="77777777" w:rsidR="008C0EC2" w:rsidRDefault="00000000">
            <w:r>
              <w:rPr>
                <w:rFonts w:ascii="Consolas" w:hAnsi="Consolas"/>
                <w:sz w:val="17"/>
              </w:rPr>
              <w:t>fig_arbol_desulfurasas.png</w:t>
            </w:r>
          </w:p>
        </w:tc>
        <w:tc>
          <w:tcPr>
            <w:tcW w:w="4896" w:type="dxa"/>
          </w:tcPr>
          <w:p w14:paraId="7329015C"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árbol ML de 617 secuencias, tres clados</w:t>
            </w:r>
          </w:p>
        </w:tc>
      </w:tr>
      <w:tr w:rsidR="008C0EC2" w14:paraId="4E35AAAC"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DDE1749" w14:textId="77777777" w:rsidR="008C0EC2" w:rsidRDefault="00000000">
            <w:r>
              <w:rPr>
                <w:rFonts w:ascii="Consolas" w:hAnsi="Consolas"/>
                <w:sz w:val="17"/>
              </w:rPr>
              <w:t>fig_distribucion_desulfurasas.png</w:t>
            </w:r>
          </w:p>
        </w:tc>
        <w:tc>
          <w:tcPr>
            <w:tcW w:w="4896" w:type="dxa"/>
          </w:tcPr>
          <w:p w14:paraId="2C30262F"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presencia/ausencia por linaje</w:t>
            </w:r>
          </w:p>
        </w:tc>
      </w:tr>
      <w:tr w:rsidR="008C0EC2" w14:paraId="551413F1"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BE15AE7" w14:textId="77777777" w:rsidR="008C0EC2" w:rsidRDefault="00000000">
            <w:r>
              <w:rPr>
                <w:rFonts w:ascii="Consolas" w:hAnsi="Consolas"/>
                <w:sz w:val="17"/>
              </w:rPr>
              <w:lastRenderedPageBreak/>
              <w:t>fig_locus_curado.png</w:t>
            </w:r>
          </w:p>
        </w:tc>
        <w:tc>
          <w:tcPr>
            <w:tcW w:w="4896" w:type="dxa"/>
          </w:tcPr>
          <w:p w14:paraId="0F6948A1"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modelo génico curado + lecturas de RNA-seq</w:t>
            </w:r>
          </w:p>
        </w:tc>
      </w:tr>
      <w:tr w:rsidR="008C0EC2" w:rsidRPr="00391BFA" w14:paraId="7C636062"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E4DDB04" w14:textId="77777777" w:rsidR="008C0EC2" w:rsidRDefault="00000000">
            <w:r>
              <w:rPr>
                <w:rFonts w:ascii="Consolas" w:hAnsi="Consolas"/>
                <w:sz w:val="17"/>
              </w:rPr>
              <w:t>fig_conservacion_sdp.png</w:t>
            </w:r>
          </w:p>
        </w:tc>
        <w:tc>
          <w:tcPr>
            <w:tcW w:w="4896" w:type="dxa"/>
          </w:tcPr>
          <w:p w14:paraId="0BD819D3"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entropía por posición y residuos discriminantes</w:t>
            </w:r>
          </w:p>
        </w:tc>
      </w:tr>
      <w:tr w:rsidR="008C0EC2" w14:paraId="500ED4FF"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B757A4E" w14:textId="77777777" w:rsidR="008C0EC2" w:rsidRDefault="00000000">
            <w:r>
              <w:rPr>
                <w:rFonts w:ascii="Consolas" w:hAnsi="Consolas"/>
                <w:sz w:val="17"/>
              </w:rPr>
              <w:t>fig_subsitio_transferencia.png</w:t>
            </w:r>
          </w:p>
        </w:tc>
        <w:tc>
          <w:tcPr>
            <w:tcW w:w="4896" w:type="dxa"/>
          </w:tcPr>
          <w:p w14:paraId="34E1A8A0"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sitio activo con ligando transferido</w:t>
            </w:r>
          </w:p>
        </w:tc>
      </w:tr>
      <w:tr w:rsidR="008C0EC2" w:rsidRPr="00391BFA" w14:paraId="302C5C92"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40E106E" w14:textId="77777777" w:rsidR="008C0EC2" w:rsidRDefault="00000000">
            <w:r>
              <w:rPr>
                <w:rFonts w:ascii="Consolas" w:hAnsi="Consolas"/>
                <w:sz w:val="17"/>
              </w:rPr>
              <w:t>fig_localizacion_scly.png</w:t>
            </w:r>
          </w:p>
        </w:tc>
        <w:tc>
          <w:tcPr>
            <w:tcW w:w="4896" w:type="dxa"/>
          </w:tcPr>
          <w:p w14:paraId="0A9924FB"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predicción de localización con panel de control</w:t>
            </w:r>
          </w:p>
        </w:tc>
      </w:tr>
      <w:tr w:rsidR="008C0EC2" w14:paraId="74C86500"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0E80709" w14:textId="77777777" w:rsidR="008C0EC2" w:rsidRDefault="00000000">
            <w:r>
              <w:rPr>
                <w:rFonts w:ascii="Consolas" w:hAnsi="Consolas"/>
                <w:sz w:val="17"/>
              </w:rPr>
              <w:t>fig_tasas_relativas.png</w:t>
            </w:r>
          </w:p>
        </w:tc>
        <w:tc>
          <w:tcPr>
            <w:tcW w:w="4896" w:type="dxa"/>
          </w:tcPr>
          <w:p w14:paraId="5062AE5F"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tasas evolutivas relativas, pareadas</w:t>
            </w:r>
          </w:p>
        </w:tc>
      </w:tr>
    </w:tbl>
    <w:p w14:paraId="46D79FD2" w14:textId="77777777" w:rsidR="008C0EC2" w:rsidRDefault="008C0EC2"/>
    <w:p w14:paraId="591B07A4" w14:textId="77777777" w:rsidR="008C0EC2" w:rsidRDefault="00000000">
      <w:r>
        <w:rPr>
          <w:b/>
        </w:rPr>
        <w:t>Tablas</w:t>
      </w:r>
    </w:p>
    <w:tbl>
      <w:tblPr>
        <w:tblStyle w:val="LightGrid-Accent1"/>
        <w:tblW w:w="0" w:type="auto"/>
        <w:jc w:val="center"/>
        <w:tblLook w:val="04A0" w:firstRow="1" w:lastRow="0" w:firstColumn="1" w:lastColumn="0" w:noHBand="0" w:noVBand="1"/>
      </w:tblPr>
      <w:tblGrid>
        <w:gridCol w:w="4896"/>
        <w:gridCol w:w="4896"/>
      </w:tblGrid>
      <w:tr w:rsidR="008C0EC2" w14:paraId="60C108D2"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D00FBEF" w14:textId="77777777" w:rsidR="008C0EC2" w:rsidRDefault="00000000">
            <w:r>
              <w:rPr>
                <w:sz w:val="17"/>
              </w:rPr>
              <w:t>Archivo</w:t>
            </w:r>
          </w:p>
        </w:tc>
        <w:tc>
          <w:tcPr>
            <w:tcW w:w="4896" w:type="dxa"/>
          </w:tcPr>
          <w:p w14:paraId="29CE0C77"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Contenido</w:t>
            </w:r>
          </w:p>
        </w:tc>
      </w:tr>
      <w:tr w:rsidR="008C0EC2" w:rsidRPr="00391BFA" w14:paraId="1F7D1CDF"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87C4717" w14:textId="77777777" w:rsidR="008C0EC2" w:rsidRDefault="00000000">
            <w:r>
              <w:rPr>
                <w:rFonts w:ascii="Consolas" w:hAnsi="Consolas"/>
                <w:sz w:val="17"/>
              </w:rPr>
              <w:t>candidatos_desulfurasas.csv</w:t>
            </w:r>
          </w:p>
        </w:tc>
        <w:tc>
          <w:tcPr>
            <w:tcW w:w="4896" w:type="dxa"/>
          </w:tcPr>
          <w:p w14:paraId="02C01F4A"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las 617 proteínas clase V con asignación</w:t>
            </w:r>
          </w:p>
        </w:tc>
      </w:tr>
      <w:tr w:rsidR="008C0EC2" w14:paraId="2709B0AB"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DC95954" w14:textId="77777777" w:rsidR="008C0EC2" w:rsidRDefault="00000000">
            <w:r>
              <w:rPr>
                <w:rFonts w:ascii="Consolas" w:hAnsi="Consolas"/>
                <w:sz w:val="17"/>
              </w:rPr>
              <w:t>distribucion_por_especie.csv</w:t>
            </w:r>
          </w:p>
        </w:tc>
        <w:tc>
          <w:tcPr>
            <w:tcW w:w="4896" w:type="dxa"/>
          </w:tcPr>
          <w:p w14:paraId="5074AC7A"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presencia por especie</w:t>
            </w:r>
          </w:p>
        </w:tc>
      </w:tr>
      <w:tr w:rsidR="008C0EC2" w14:paraId="1359BC7D"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9CB5CA0" w14:textId="77777777" w:rsidR="008C0EC2" w:rsidRDefault="00000000">
            <w:r>
              <w:rPr>
                <w:rFonts w:ascii="Consolas" w:hAnsi="Consolas"/>
                <w:sz w:val="17"/>
              </w:rPr>
              <w:t>presencia_por_proteoma.csv</w:t>
            </w:r>
          </w:p>
        </w:tc>
        <w:tc>
          <w:tcPr>
            <w:tcW w:w="4896" w:type="dxa"/>
          </w:tcPr>
          <w:p w14:paraId="49AD2B0F"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presencia por proteoma</w:t>
            </w:r>
          </w:p>
        </w:tc>
      </w:tr>
      <w:tr w:rsidR="008C0EC2" w14:paraId="64973079"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4A0B94F" w14:textId="77777777" w:rsidR="008C0EC2" w:rsidRPr="00391BFA" w:rsidRDefault="00000000">
            <w:pPr>
              <w:rPr>
                <w:lang w:val="es-ES"/>
              </w:rPr>
            </w:pPr>
            <w:r w:rsidRPr="00391BFA">
              <w:rPr>
                <w:rFonts w:ascii="Consolas" w:hAnsi="Consolas"/>
                <w:sz w:val="17"/>
                <w:lang w:val="es-ES"/>
              </w:rPr>
              <w:t>tabla_asignacion_familia_NFS.csv</w:t>
            </w:r>
          </w:p>
        </w:tc>
        <w:tc>
          <w:tcPr>
            <w:tcW w:w="4896" w:type="dxa"/>
          </w:tcPr>
          <w:p w14:paraId="54F20ADA"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bucles catalíticos alineados</w:t>
            </w:r>
          </w:p>
        </w:tc>
      </w:tr>
      <w:tr w:rsidR="008C0EC2" w14:paraId="1B9A8054"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2B85A6" w14:textId="77777777" w:rsidR="008C0EC2" w:rsidRPr="00391BFA" w:rsidRDefault="00000000">
            <w:pPr>
              <w:rPr>
                <w:lang w:val="es-ES"/>
              </w:rPr>
            </w:pPr>
            <w:r w:rsidRPr="00391BFA">
              <w:rPr>
                <w:rFonts w:ascii="Consolas" w:hAnsi="Consolas"/>
                <w:sz w:val="17"/>
                <w:lang w:val="es-ES"/>
              </w:rPr>
              <w:t>conservacion_scly_por_posicion.csv</w:t>
            </w:r>
          </w:p>
        </w:tc>
        <w:tc>
          <w:tcPr>
            <w:tcW w:w="4896" w:type="dxa"/>
          </w:tcPr>
          <w:p w14:paraId="7BB2F629"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entropía posición por posición</w:t>
            </w:r>
          </w:p>
        </w:tc>
      </w:tr>
      <w:tr w:rsidR="008C0EC2" w14:paraId="32BD8F5E"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139CCB1" w14:textId="77777777" w:rsidR="008C0EC2" w:rsidRDefault="00000000">
            <w:r>
              <w:rPr>
                <w:rFonts w:ascii="Consolas" w:hAnsi="Consolas"/>
                <w:sz w:val="17"/>
              </w:rPr>
              <w:t>posiciones_discriminantes_scly.csv</w:t>
            </w:r>
          </w:p>
        </w:tc>
        <w:tc>
          <w:tcPr>
            <w:tcW w:w="4896" w:type="dxa"/>
          </w:tcPr>
          <w:p w14:paraId="716E624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las 6 posiciones discriminantes</w:t>
            </w:r>
          </w:p>
        </w:tc>
      </w:tr>
      <w:tr w:rsidR="008C0EC2" w:rsidRPr="00391BFA" w14:paraId="257E4FAD"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D31E4F0" w14:textId="77777777" w:rsidR="008C0EC2" w:rsidRDefault="00000000">
            <w:r>
              <w:rPr>
                <w:rFonts w:ascii="Consolas" w:hAnsi="Consolas"/>
                <w:sz w:val="17"/>
              </w:rPr>
              <w:t>subsitio_equivalencias.csv</w:t>
            </w:r>
          </w:p>
        </w:tc>
        <w:tc>
          <w:tcPr>
            <w:tcW w:w="4896" w:type="dxa"/>
          </w:tcPr>
          <w:p w14:paraId="6E289238"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equivalencias del subsitio entre familias</w:t>
            </w:r>
          </w:p>
        </w:tc>
      </w:tr>
      <w:tr w:rsidR="008C0EC2" w14:paraId="24DC1AD6"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C377E3" w14:textId="77777777" w:rsidR="008C0EC2" w:rsidRDefault="00000000">
            <w:r>
              <w:rPr>
                <w:rFonts w:ascii="Consolas" w:hAnsi="Consolas"/>
                <w:sz w:val="17"/>
              </w:rPr>
              <w:t>superposiciones_desulfurasas.csv</w:t>
            </w:r>
          </w:p>
        </w:tc>
        <w:tc>
          <w:tcPr>
            <w:tcW w:w="4896" w:type="dxa"/>
          </w:tcPr>
          <w:p w14:paraId="5ADB29B6"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TM-scores y distancias</w:t>
            </w:r>
          </w:p>
        </w:tc>
      </w:tr>
      <w:tr w:rsidR="008C0EC2" w14:paraId="47533798"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AFE56EA" w14:textId="77777777" w:rsidR="008C0EC2" w:rsidRDefault="00000000">
            <w:r>
              <w:rPr>
                <w:rFonts w:ascii="Consolas" w:hAnsi="Consolas"/>
                <w:sz w:val="17"/>
              </w:rPr>
              <w:t>scly_like_localizacion.csv</w:t>
            </w:r>
          </w:p>
        </w:tc>
        <w:tc>
          <w:tcPr>
            <w:tcW w:w="4896" w:type="dxa"/>
          </w:tcPr>
          <w:p w14:paraId="7A591A4F"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salidas de los 4 predictores</w:t>
            </w:r>
          </w:p>
        </w:tc>
      </w:tr>
      <w:tr w:rsidR="008C0EC2" w14:paraId="3C4AC146"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E889576" w14:textId="77777777" w:rsidR="008C0EC2" w:rsidRDefault="00000000">
            <w:r>
              <w:rPr>
                <w:rFonts w:ascii="Consolas" w:hAnsi="Consolas"/>
                <w:sz w:val="17"/>
              </w:rPr>
              <w:t>scly_like_mapeo.csv</w:t>
            </w:r>
          </w:p>
        </w:tc>
        <w:tc>
          <w:tcPr>
            <w:tcW w:w="4896" w:type="dxa"/>
          </w:tcPr>
          <w:p w14:paraId="38DAC881"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mapeo de identificadores</w:t>
            </w:r>
          </w:p>
        </w:tc>
      </w:tr>
      <w:tr w:rsidR="008C0EC2" w:rsidRPr="00391BFA" w14:paraId="327A7320"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AE56E0D" w14:textId="77777777" w:rsidR="008C0EC2" w:rsidRDefault="00000000">
            <w:r>
              <w:rPr>
                <w:rFonts w:ascii="Consolas" w:hAnsi="Consolas"/>
                <w:sz w:val="17"/>
              </w:rPr>
              <w:t>sec_machinery_rbh.csv</w:t>
            </w:r>
          </w:p>
        </w:tc>
        <w:tc>
          <w:tcPr>
            <w:tcW w:w="4896" w:type="dxa"/>
          </w:tcPr>
          <w:p w14:paraId="6EBBB778"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RBH de la maquinaria Sec</w:t>
            </w:r>
          </w:p>
        </w:tc>
      </w:tr>
      <w:tr w:rsidR="008C0EC2" w14:paraId="3476676E"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E9F6845" w14:textId="77777777" w:rsidR="008C0EC2" w:rsidRDefault="00000000">
            <w:r>
              <w:rPr>
                <w:rFonts w:ascii="Consolas" w:hAnsi="Consolas"/>
                <w:sz w:val="17"/>
              </w:rPr>
              <w:t>sec_vs_scly_por_proteoma.csv</w:t>
            </w:r>
          </w:p>
        </w:tc>
        <w:tc>
          <w:tcPr>
            <w:tcW w:w="4896" w:type="dxa"/>
          </w:tcPr>
          <w:p w14:paraId="646FEA25"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tabla de contingencia por proteoma</w:t>
            </w:r>
          </w:p>
        </w:tc>
      </w:tr>
      <w:tr w:rsidR="008C0EC2" w:rsidRPr="00391BFA" w14:paraId="641E2069"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D6AC692" w14:textId="77777777" w:rsidR="008C0EC2" w:rsidRDefault="00000000">
            <w:r>
              <w:rPr>
                <w:rFonts w:ascii="Consolas" w:hAnsi="Consolas"/>
                <w:sz w:val="17"/>
              </w:rPr>
              <w:t>evidencia_rnaseq_uniones.csv</w:t>
            </w:r>
          </w:p>
        </w:tc>
        <w:tc>
          <w:tcPr>
            <w:tcW w:w="4896" w:type="dxa"/>
          </w:tcPr>
          <w:p w14:paraId="4450A030"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conteos de k-meros por unión</w:t>
            </w:r>
          </w:p>
        </w:tc>
      </w:tr>
      <w:tr w:rsidR="008C0EC2" w14:paraId="7DDF1E95"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2CE4737" w14:textId="77777777" w:rsidR="008C0EC2" w:rsidRDefault="00000000">
            <w:r>
              <w:rPr>
                <w:rFonts w:ascii="Consolas" w:hAnsi="Consolas"/>
                <w:sz w:val="17"/>
              </w:rPr>
              <w:t>tasas_relativas_pareadas.csv</w:t>
            </w:r>
          </w:p>
        </w:tc>
        <w:tc>
          <w:tcPr>
            <w:tcW w:w="4896" w:type="dxa"/>
          </w:tcPr>
          <w:p w14:paraId="6E8EF879"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distancias de rama por especie</w:t>
            </w:r>
          </w:p>
        </w:tc>
      </w:tr>
    </w:tbl>
    <w:p w14:paraId="73A5383B" w14:textId="77777777" w:rsidR="008C0EC2" w:rsidRDefault="008C0EC2"/>
    <w:p w14:paraId="246B2440" w14:textId="77777777" w:rsidR="008C0EC2" w:rsidRDefault="00000000">
      <w:r>
        <w:rPr>
          <w:b/>
        </w:rPr>
        <w:t>Secuencias y estructuras</w:t>
      </w:r>
    </w:p>
    <w:tbl>
      <w:tblPr>
        <w:tblStyle w:val="LightGrid-Accent1"/>
        <w:tblW w:w="0" w:type="auto"/>
        <w:jc w:val="center"/>
        <w:tblLook w:val="04A0" w:firstRow="1" w:lastRow="0" w:firstColumn="1" w:lastColumn="0" w:noHBand="0" w:noVBand="1"/>
      </w:tblPr>
      <w:tblGrid>
        <w:gridCol w:w="4896"/>
        <w:gridCol w:w="4896"/>
      </w:tblGrid>
      <w:tr w:rsidR="008C0EC2" w14:paraId="29CC4CDB"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D5A659F" w14:textId="77777777" w:rsidR="008C0EC2" w:rsidRDefault="00000000">
            <w:r>
              <w:rPr>
                <w:sz w:val="17"/>
              </w:rPr>
              <w:t>Archivo</w:t>
            </w:r>
          </w:p>
        </w:tc>
        <w:tc>
          <w:tcPr>
            <w:tcW w:w="4896" w:type="dxa"/>
          </w:tcPr>
          <w:p w14:paraId="4FF94B58"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Contenido</w:t>
            </w:r>
          </w:p>
        </w:tc>
      </w:tr>
      <w:tr w:rsidR="008C0EC2" w:rsidRPr="00391BFA" w14:paraId="28C24A98"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DAD37E4" w14:textId="77777777" w:rsidR="008C0EC2" w:rsidRDefault="00000000">
            <w:r>
              <w:rPr>
                <w:rFonts w:ascii="Consolas" w:hAnsi="Consolas"/>
                <w:sz w:val="17"/>
              </w:rPr>
              <w:t>scly_pabb_curada.fasta</w:t>
            </w:r>
          </w:p>
        </w:tc>
        <w:tc>
          <w:tcPr>
            <w:tcW w:w="4896" w:type="dxa"/>
          </w:tcPr>
          <w:p w14:paraId="1945E080"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pt-BR"/>
              </w:rPr>
            </w:pPr>
            <w:r w:rsidRPr="00391BFA">
              <w:rPr>
                <w:sz w:val="17"/>
                <w:lang w:val="pt-BR"/>
              </w:rPr>
              <w:t>proteína curada de PABB004 (421 aa)</w:t>
            </w:r>
          </w:p>
        </w:tc>
      </w:tr>
      <w:tr w:rsidR="008C0EC2" w:rsidRPr="00391BFA" w14:paraId="79D9DCCC"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0B4769F" w14:textId="77777777" w:rsidR="008C0EC2" w:rsidRDefault="00000000">
            <w:r>
              <w:rPr>
                <w:rFonts w:ascii="Consolas" w:hAnsi="Consolas"/>
                <w:sz w:val="17"/>
              </w:rPr>
              <w:t>scly_pabb_curada.tbl</w:t>
            </w:r>
          </w:p>
        </w:tc>
        <w:tc>
          <w:tcPr>
            <w:tcW w:w="4896" w:type="dxa"/>
          </w:tcPr>
          <w:p w14:paraId="66377D96"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modelo génico en formato de NCBI</w:t>
            </w:r>
          </w:p>
        </w:tc>
      </w:tr>
      <w:tr w:rsidR="008C0EC2" w14:paraId="45A0AB2A"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5F8813C" w14:textId="77777777" w:rsidR="008C0EC2" w:rsidRDefault="00000000">
            <w:r>
              <w:rPr>
                <w:rFonts w:ascii="Consolas" w:hAnsi="Consolas"/>
                <w:sz w:val="17"/>
              </w:rPr>
              <w:t>arbol_desulfurasas.nwk</w:t>
            </w:r>
          </w:p>
        </w:tc>
        <w:tc>
          <w:tcPr>
            <w:tcW w:w="4896" w:type="dxa"/>
          </w:tcPr>
          <w:p w14:paraId="1982AFD8"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árbol en Newick</w:t>
            </w:r>
          </w:p>
        </w:tc>
      </w:tr>
      <w:tr w:rsidR="008C0EC2" w14:paraId="10618529"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FD33EDA" w14:textId="77777777" w:rsidR="008C0EC2" w:rsidRDefault="00000000">
            <w:r>
              <w:rPr>
                <w:rFonts w:ascii="Consolas" w:hAnsi="Consolas"/>
                <w:sz w:val="17"/>
              </w:rPr>
              <w:t>msa_desulfurasas_trim.fasta</w:t>
            </w:r>
          </w:p>
        </w:tc>
        <w:tc>
          <w:tcPr>
            <w:tcW w:w="4896" w:type="dxa"/>
          </w:tcPr>
          <w:p w14:paraId="261F0DCF"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alineamiento filtrado</w:t>
            </w:r>
          </w:p>
        </w:tc>
      </w:tr>
      <w:tr w:rsidR="008C0EC2" w14:paraId="6FFC10B2"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3E29E6" w14:textId="77777777" w:rsidR="008C0EC2" w:rsidRDefault="00000000">
            <w:r>
              <w:rPr>
                <w:rFonts w:ascii="Consolas" w:hAnsi="Consolas"/>
                <w:sz w:val="17"/>
              </w:rPr>
              <w:t>dominios_desulfurasas.fasta</w:t>
            </w:r>
          </w:p>
        </w:tc>
        <w:tc>
          <w:tcPr>
            <w:tcW w:w="4896" w:type="dxa"/>
          </w:tcPr>
          <w:p w14:paraId="53DA1247"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dominios PF00266 extraídos</w:t>
            </w:r>
          </w:p>
        </w:tc>
      </w:tr>
      <w:tr w:rsidR="008C0EC2" w:rsidRPr="00391BFA" w14:paraId="5DAABA2B"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1973E0" w14:textId="77777777" w:rsidR="008C0EC2" w:rsidRDefault="00000000">
            <w:r>
              <w:rPr>
                <w:rFonts w:ascii="Consolas" w:hAnsi="Consolas"/>
                <w:sz w:val="17"/>
              </w:rPr>
              <w:t>HText_conservacion_SCLYlike.pdb</w:t>
            </w:r>
          </w:p>
        </w:tc>
        <w:tc>
          <w:tcPr>
            <w:tcW w:w="4896" w:type="dxa"/>
          </w:tcPr>
          <w:p w14:paraId="4F7F31EA"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modelo con conservación en el campo B</w:t>
            </w:r>
          </w:p>
        </w:tc>
      </w:tr>
      <w:tr w:rsidR="008C0EC2" w:rsidRPr="00391BFA" w14:paraId="243D1120"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9B4ED7E" w14:textId="77777777" w:rsidR="008C0EC2" w:rsidRDefault="00000000">
            <w:r>
              <w:rPr>
                <w:rFonts w:ascii="Consolas" w:hAnsi="Consolas"/>
                <w:sz w:val="17"/>
              </w:rPr>
              <w:t>HText_core_PLP_selenopropionato.pdb</w:t>
            </w:r>
          </w:p>
        </w:tc>
        <w:tc>
          <w:tcPr>
            <w:tcW w:w="4896" w:type="dxa"/>
          </w:tcPr>
          <w:p w14:paraId="2D07EDDD"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núcleo con PLP y ligando transferido</w:t>
            </w:r>
          </w:p>
        </w:tc>
      </w:tr>
    </w:tbl>
    <w:p w14:paraId="55C6CA4C" w14:textId="77777777" w:rsidR="008C0EC2" w:rsidRPr="00391BFA" w:rsidRDefault="008C0EC2">
      <w:pPr>
        <w:rPr>
          <w:lang w:val="es-ES"/>
        </w:rPr>
      </w:pPr>
    </w:p>
    <w:p w14:paraId="464B9F00" w14:textId="77777777" w:rsidR="008C0EC2" w:rsidRDefault="00000000">
      <w:r>
        <w:rPr>
          <w:b/>
        </w:rPr>
        <w:t>Documentos</w:t>
      </w:r>
    </w:p>
    <w:tbl>
      <w:tblPr>
        <w:tblStyle w:val="LightGrid-Accent1"/>
        <w:tblW w:w="0" w:type="auto"/>
        <w:jc w:val="center"/>
        <w:tblLook w:val="04A0" w:firstRow="1" w:lastRow="0" w:firstColumn="1" w:lastColumn="0" w:noHBand="0" w:noVBand="1"/>
      </w:tblPr>
      <w:tblGrid>
        <w:gridCol w:w="4896"/>
        <w:gridCol w:w="4896"/>
      </w:tblGrid>
      <w:tr w:rsidR="008C0EC2" w14:paraId="06384FA2" w14:textId="77777777" w:rsidTr="008C0E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E1F9139" w14:textId="77777777" w:rsidR="008C0EC2" w:rsidRDefault="00000000">
            <w:r>
              <w:rPr>
                <w:sz w:val="17"/>
              </w:rPr>
              <w:t>Archivo</w:t>
            </w:r>
          </w:p>
        </w:tc>
        <w:tc>
          <w:tcPr>
            <w:tcW w:w="4896" w:type="dxa"/>
          </w:tcPr>
          <w:p w14:paraId="7C1329D2" w14:textId="77777777" w:rsidR="008C0EC2" w:rsidRDefault="00000000">
            <w:pPr>
              <w:cnfStyle w:val="100000000000" w:firstRow="1" w:lastRow="0" w:firstColumn="0" w:lastColumn="0" w:oddVBand="0" w:evenVBand="0" w:oddHBand="0" w:evenHBand="0" w:firstRowFirstColumn="0" w:firstRowLastColumn="0" w:lastRowFirstColumn="0" w:lastRowLastColumn="0"/>
            </w:pPr>
            <w:r>
              <w:rPr>
                <w:sz w:val="17"/>
              </w:rPr>
              <w:t>Contenido</w:t>
            </w:r>
          </w:p>
        </w:tc>
      </w:tr>
      <w:tr w:rsidR="008C0EC2" w14:paraId="6F925D54"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953B485" w14:textId="77777777" w:rsidR="008C0EC2" w:rsidRDefault="00000000">
            <w:r>
              <w:rPr>
                <w:rFonts w:ascii="Consolas" w:hAnsi="Consolas"/>
                <w:sz w:val="17"/>
              </w:rPr>
              <w:t>dossier_SCLY_like.md</w:t>
            </w:r>
            <w:r>
              <w:rPr>
                <w:sz w:val="17"/>
              </w:rPr>
              <w:t xml:space="preserve"> / </w:t>
            </w:r>
            <w:r>
              <w:rPr>
                <w:rFonts w:ascii="Consolas" w:hAnsi="Consolas"/>
                <w:sz w:val="17"/>
              </w:rPr>
              <w:t>.docx</w:t>
            </w:r>
          </w:p>
        </w:tc>
        <w:tc>
          <w:tcPr>
            <w:tcW w:w="4896" w:type="dxa"/>
          </w:tcPr>
          <w:p w14:paraId="5B4134C5" w14:textId="77777777" w:rsidR="008C0EC2" w:rsidRDefault="00000000">
            <w:pPr>
              <w:cnfStyle w:val="000000100000" w:firstRow="0" w:lastRow="0" w:firstColumn="0" w:lastColumn="0" w:oddVBand="0" w:evenVBand="0" w:oddHBand="1" w:evenHBand="0" w:firstRowFirstColumn="0" w:firstRowLastColumn="0" w:lastRowFirstColumn="0" w:lastRowLastColumn="0"/>
            </w:pPr>
            <w:r>
              <w:rPr>
                <w:sz w:val="17"/>
              </w:rPr>
              <w:t>este expediente</w:t>
            </w:r>
          </w:p>
        </w:tc>
      </w:tr>
      <w:tr w:rsidR="008C0EC2" w:rsidRPr="00391BFA" w14:paraId="2C8E32CA"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D1351B4" w14:textId="77777777" w:rsidR="008C0EC2" w:rsidRDefault="00000000">
            <w:r>
              <w:rPr>
                <w:rFonts w:ascii="Consolas" w:hAnsi="Consolas"/>
                <w:sz w:val="17"/>
              </w:rPr>
              <w:t>barrido_desulfurasas_informe.md</w:t>
            </w:r>
          </w:p>
        </w:tc>
        <w:tc>
          <w:tcPr>
            <w:tcW w:w="4896" w:type="dxa"/>
          </w:tcPr>
          <w:p w14:paraId="49325FB3" w14:textId="77777777" w:rsidR="008C0EC2" w:rsidRPr="00391BFA" w:rsidRDefault="00000000">
            <w:pPr>
              <w:cnfStyle w:val="000000010000" w:firstRow="0" w:lastRow="0" w:firstColumn="0" w:lastColumn="0" w:oddVBand="0" w:evenVBand="0" w:oddHBand="0" w:evenHBand="1" w:firstRowFirstColumn="0" w:firstRowLastColumn="0" w:lastRowFirstColumn="0" w:lastRowLastColumn="0"/>
              <w:rPr>
                <w:lang w:val="es-ES"/>
              </w:rPr>
            </w:pPr>
            <w:r w:rsidRPr="00391BFA">
              <w:rPr>
                <w:sz w:val="17"/>
                <w:lang w:val="es-ES"/>
              </w:rPr>
              <w:t>detalle técnico del barrido pan-algal</w:t>
            </w:r>
          </w:p>
        </w:tc>
      </w:tr>
      <w:tr w:rsidR="008C0EC2" w:rsidRPr="00391BFA" w14:paraId="26F3D2D9"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3F4446" w14:textId="77777777" w:rsidR="008C0EC2" w:rsidRDefault="00000000">
            <w:r>
              <w:rPr>
                <w:rFonts w:ascii="Consolas" w:hAnsi="Consolas"/>
                <w:sz w:val="17"/>
              </w:rPr>
              <w:t>revision_analisis_htext.md</w:t>
            </w:r>
          </w:p>
        </w:tc>
        <w:tc>
          <w:tcPr>
            <w:tcW w:w="4896" w:type="dxa"/>
          </w:tcPr>
          <w:p w14:paraId="242B29EB"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auditoría del docking y del análisis de conservación previos</w:t>
            </w:r>
          </w:p>
        </w:tc>
      </w:tr>
      <w:tr w:rsidR="008C0EC2" w14:paraId="13195B07" w14:textId="77777777" w:rsidTr="008C0E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2EC8454" w14:textId="77777777" w:rsidR="008C0EC2" w:rsidRDefault="00000000">
            <w:r>
              <w:rPr>
                <w:rFonts w:ascii="Consolas" w:hAnsi="Consolas"/>
                <w:sz w:val="17"/>
              </w:rPr>
              <w:t>evaluacion_NFS2_PABB.md</w:t>
            </w:r>
          </w:p>
        </w:tc>
        <w:tc>
          <w:tcPr>
            <w:tcW w:w="4896" w:type="dxa"/>
          </w:tcPr>
          <w:p w14:paraId="769D7EE0" w14:textId="77777777" w:rsidR="008C0EC2" w:rsidRDefault="00000000">
            <w:pPr>
              <w:cnfStyle w:val="000000010000" w:firstRow="0" w:lastRow="0" w:firstColumn="0" w:lastColumn="0" w:oddVBand="0" w:evenVBand="0" w:oddHBand="0" w:evenHBand="1" w:firstRowFirstColumn="0" w:firstRowLastColumn="0" w:lastRowFirstColumn="0" w:lastRowLastColumn="0"/>
            </w:pPr>
            <w:r>
              <w:rPr>
                <w:sz w:val="17"/>
              </w:rPr>
              <w:t>evaluación del trabajo original</w:t>
            </w:r>
          </w:p>
        </w:tc>
      </w:tr>
      <w:tr w:rsidR="008C0EC2" w:rsidRPr="00391BFA" w14:paraId="271064B6" w14:textId="77777777" w:rsidTr="008C0E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EC5D490" w14:textId="77777777" w:rsidR="008C0EC2" w:rsidRDefault="00000000">
            <w:r>
              <w:rPr>
                <w:rFonts w:ascii="Consolas" w:hAnsi="Consolas"/>
                <w:sz w:val="17"/>
              </w:rPr>
              <w:t>figuras_documentos_originales.zip</w:t>
            </w:r>
          </w:p>
        </w:tc>
        <w:tc>
          <w:tcPr>
            <w:tcW w:w="4896" w:type="dxa"/>
          </w:tcPr>
          <w:p w14:paraId="16787AEC" w14:textId="77777777" w:rsidR="008C0EC2" w:rsidRPr="00391BFA" w:rsidRDefault="00000000">
            <w:pPr>
              <w:cnfStyle w:val="000000100000" w:firstRow="0" w:lastRow="0" w:firstColumn="0" w:lastColumn="0" w:oddVBand="0" w:evenVBand="0" w:oddHBand="1" w:evenHBand="0" w:firstRowFirstColumn="0" w:firstRowLastColumn="0" w:lastRowFirstColumn="0" w:lastRowLastColumn="0"/>
              <w:rPr>
                <w:lang w:val="es-ES"/>
              </w:rPr>
            </w:pPr>
            <w:r w:rsidRPr="00391BFA">
              <w:rPr>
                <w:sz w:val="17"/>
                <w:lang w:val="es-ES"/>
              </w:rPr>
              <w:t>56 imágenes extraídas de los Google Docs, con catálogo</w:t>
            </w:r>
          </w:p>
        </w:tc>
      </w:tr>
    </w:tbl>
    <w:p w14:paraId="3AF45DB4" w14:textId="77777777" w:rsidR="008C0EC2" w:rsidRPr="00391BFA" w:rsidRDefault="008C0EC2">
      <w:pPr>
        <w:rPr>
          <w:lang w:val="es-ES"/>
        </w:rPr>
      </w:pPr>
    </w:p>
    <w:p w14:paraId="76799FB5" w14:textId="4D65A188" w:rsidR="008C0EC2" w:rsidRDefault="00FC30C0">
      <w:r>
        <w:rPr>
          <w:lang w:val="es-ES"/>
        </w:rPr>
        <w:t>:)</w:t>
      </w:r>
    </w:p>
    <w:sectPr w:rsidR="008C0EC2"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773702">
    <w:abstractNumId w:val="8"/>
  </w:num>
  <w:num w:numId="2" w16cid:durableId="1594581">
    <w:abstractNumId w:val="6"/>
  </w:num>
  <w:num w:numId="3" w16cid:durableId="1038969112">
    <w:abstractNumId w:val="5"/>
  </w:num>
  <w:num w:numId="4" w16cid:durableId="2121030747">
    <w:abstractNumId w:val="4"/>
  </w:num>
  <w:num w:numId="5" w16cid:durableId="231038454">
    <w:abstractNumId w:val="7"/>
  </w:num>
  <w:num w:numId="6" w16cid:durableId="1071535631">
    <w:abstractNumId w:val="3"/>
  </w:num>
  <w:num w:numId="7" w16cid:durableId="1801610995">
    <w:abstractNumId w:val="2"/>
  </w:num>
  <w:num w:numId="8" w16cid:durableId="1811701337">
    <w:abstractNumId w:val="1"/>
  </w:num>
  <w:num w:numId="9" w16cid:durableId="53696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80B"/>
    <w:rsid w:val="0015074B"/>
    <w:rsid w:val="0029639D"/>
    <w:rsid w:val="00326F90"/>
    <w:rsid w:val="00391BFA"/>
    <w:rsid w:val="008C0EC2"/>
    <w:rsid w:val="00AA1D8D"/>
    <w:rsid w:val="00B47730"/>
    <w:rsid w:val="00C44ABB"/>
    <w:rsid w:val="00CB0664"/>
    <w:rsid w:val="00FC30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E0E84"/>
  <w14:defaultImageDpi w14:val="300"/>
  <w15:docId w15:val="{1A890E56-72BC-4E53-B903-32344D5D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31</Pages>
  <Words>8403</Words>
  <Characters>46220</Characters>
  <Application>Microsoft Office Word</Application>
  <DocSecurity>0</DocSecurity>
  <Lines>385</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Agustín Truant</cp:lastModifiedBy>
  <cp:revision>3</cp:revision>
  <dcterms:created xsi:type="dcterms:W3CDTF">2013-12-23T23:15:00Z</dcterms:created>
  <dcterms:modified xsi:type="dcterms:W3CDTF">2026-10-08T03:38:00Z</dcterms:modified>
  <cp:category/>
</cp:coreProperties>
</file>