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172A"/>
          <w:sz w:val="40"/>
        </w:rPr>
        <w:t>🔥 SECUENCIA ESPECIAL CIERRE DE MES (SIN VARIABLES ROBÓTICAS) - SNOV.IO</w:t>
      </w:r>
    </w:p>
    <w:p>
      <w:r>
        <w:rPr>
          <w:rFonts w:ascii="Calibri" w:hAnsi="Calibri"/>
          <w:i/>
          <w:color w:val="475569"/>
        </w:rPr>
        <w:t>Esta versión elimina la palabra 'empresa' o variables robóticas. Usa la frase natural 'Le escribo a su estación' y se enfoca en el cierre fiscal obligatorio de fin de mes que aplica al 100% de las gasolineras en México (Anexo 30 del SAT).</w:t>
      </w:r>
    </w:p>
    <w:p>
      <w:pPr>
        <w:spacing w:before="280" w:after="80"/>
      </w:pPr>
      <w:r>
        <w:rPr>
          <w:rFonts w:ascii="Calibri" w:hAnsi="Calibri"/>
          <w:b/>
          <w:color w:val="2563EB"/>
          <w:sz w:val="30"/>
        </w:rPr>
        <w:t>🔥 SECUENCIA DE CIERRE DE MES (NATURAL Y HUMANA — 100% GASOLINERAS)</w:t>
      </w:r>
    </w:p>
    <w:p>
      <w:pPr>
        <w:spacing w:before="200" w:after="40"/>
      </w:pPr>
      <w:r>
        <w:rPr>
          <w:rFonts w:ascii="Calibri" w:hAnsi="Calibri"/>
          <w:b/>
          <w:color w:val="1E293B"/>
          <w:sz w:val="24"/>
        </w:rPr>
        <w:t>Paso 1: Primer Contacto (Urgencia Cierre de Mes — 28 de Agosto)</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Cierre de mes: conciliación de volumen y cobro en pista</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Le escribo a su estación aprovechando el cierre de mes.</w:t>
            </w:r>
          </w:p>
          <w:p>
            <w:pPr>
              <w:spacing w:before="0" w:after="60"/>
            </w:pPr>
            <w:r>
              <w:rPr>
                <w:rFonts w:ascii="Calibri" w:hAnsi="Calibri"/>
                <w:color w:val="1E293B"/>
                <w:sz w:val="22"/>
              </w:rPr>
            </w:r>
          </w:p>
          <w:p>
            <w:pPr>
              <w:spacing w:before="0" w:after="60"/>
            </w:pPr>
            <w:r>
              <w:rPr>
                <w:rFonts w:ascii="Calibri" w:hAnsi="Calibri"/>
                <w:color w:val="1E293B"/>
                <w:sz w:val="22"/>
              </w:rPr>
              <w:t>Al cerrar agosto, ¿cómo resuelven la conciliación entre los pagos recibidos con tarjeta en la posición de carga y los volúmenes registrados en su sistema volumétrico?</w:t>
            </w:r>
          </w:p>
          <w:p>
            <w:pPr>
              <w:spacing w:before="0" w:after="60"/>
            </w:pPr>
            <w:r>
              <w:rPr>
                <w:rFonts w:ascii="Calibri" w:hAnsi="Calibri"/>
                <w:color w:val="1E293B"/>
                <w:sz w:val="22"/>
              </w:rPr>
            </w:r>
          </w:p>
          <w:p>
            <w:pPr>
              <w:spacing w:before="0" w:after="60"/>
            </w:pPr>
            <w:r>
              <w:rPr>
                <w:rFonts w:ascii="Calibri" w:hAnsi="Calibri"/>
                <w:color w:val="1E293B"/>
                <w:sz w:val="22"/>
              </w:rPr>
              <w:t>En PayMind trabajamos en la infraestructura de cobro en pista e integración directa con sistemas volumétricos (aclarando que no manejamos la emisión de facturación, sino la conectividad del cobro y la conciliación del volumen con el dispensario).</w:t>
            </w:r>
          </w:p>
          <w:p>
            <w:pPr>
              <w:spacing w:before="0" w:after="60"/>
            </w:pPr>
            <w:r>
              <w:rPr>
                <w:rFonts w:ascii="Calibri" w:hAnsi="Calibri"/>
                <w:color w:val="1E293B"/>
                <w:sz w:val="22"/>
              </w:rPr>
            </w:r>
          </w:p>
          <w:p>
            <w:pPr>
              <w:spacing w:before="0" w:after="60"/>
            </w:pPr>
            <w:r>
              <w:rPr>
                <w:rFonts w:ascii="Calibri" w:hAnsi="Calibri"/>
                <w:color w:val="1E293B"/>
                <w:sz w:val="22"/>
              </w:rPr>
              <w:t>¿Quién suele revisar esa parte durante el cierre en su estación?</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00" w:after="40"/>
      </w:pPr>
      <w:r>
        <w:rPr>
          <w:rFonts w:ascii="Calibri" w:hAnsi="Calibri"/>
          <w:b/>
          <w:color w:val="1E293B"/>
          <w:sz w:val="24"/>
        </w:rPr>
        <w:t>Paso 2: Segundo Contacto — Cuadre de Cortes &amp; Conectividad (Lunes 31 de Agosto)</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Cuadre de volumen al cierre de mes</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Hoy que concluye el mes, retomo la pregunta anterior.</w:t>
            </w:r>
          </w:p>
          <w:p>
            <w:pPr>
              <w:spacing w:before="0" w:after="60"/>
            </w:pPr>
            <w:r>
              <w:rPr>
                <w:rFonts w:ascii="Calibri" w:hAnsi="Calibri"/>
                <w:color w:val="1E293B"/>
                <w:sz w:val="22"/>
              </w:rPr>
            </w:r>
          </w:p>
          <w:p>
            <w:pPr>
              <w:spacing w:before="0" w:after="60"/>
            </w:pPr>
            <w:r>
              <w:rPr>
                <w:rFonts w:ascii="Calibri" w:hAnsi="Calibri"/>
                <w:color w:val="1E293B"/>
                <w:sz w:val="22"/>
              </w:rPr>
              <w:t>Cuando hay diferencias al cuadrar los cortes de caja entre las terminales de pista y los reportes del volumétrico, ¿cuánto tiempo toma a su equipo de administración u operaciones conciliar esas ventas?</w:t>
            </w:r>
          </w:p>
          <w:p>
            <w:pPr>
              <w:spacing w:before="0" w:after="60"/>
            </w:pPr>
            <w:r>
              <w:rPr>
                <w:rFonts w:ascii="Calibri" w:hAnsi="Calibri"/>
                <w:color w:val="1E293B"/>
                <w:sz w:val="22"/>
              </w:rPr>
            </w:r>
          </w:p>
          <w:p>
            <w:pPr>
              <w:spacing w:before="0" w:after="60"/>
            </w:pPr>
            <w:r>
              <w:rPr>
                <w:rFonts w:ascii="Calibri" w:hAnsi="Calibri"/>
                <w:color w:val="1E293B"/>
                <w:sz w:val="22"/>
              </w:rPr>
              <w:t>PayMind se conecta vía APIs con sistemas volumétricos para que la autorización del cobro en la posición quede ligada al registro de carga. Orsan aparece entre las empresas que confían públicamente en nuestra plataforma.</w:t>
            </w:r>
          </w:p>
          <w:p>
            <w:pPr>
              <w:spacing w:before="0" w:after="60"/>
            </w:pPr>
            <w:r>
              <w:rPr>
                <w:rFonts w:ascii="Calibri" w:hAnsi="Calibri"/>
                <w:color w:val="1E293B"/>
                <w:sz w:val="22"/>
              </w:rPr>
            </w:r>
          </w:p>
          <w:p>
            <w:pPr>
              <w:spacing w:before="0" w:after="60"/>
            </w:pPr>
            <w:r>
              <w:rPr>
                <w:rFonts w:ascii="Calibri" w:hAnsi="Calibri"/>
                <w:color w:val="1E293B"/>
                <w:sz w:val="22"/>
              </w:rPr>
              <w:t>¿Tendría sentido revisar si esta integración aplica para su operación?</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00" w:after="40"/>
      </w:pPr>
      <w:r>
        <w:rPr>
          <w:rFonts w:ascii="Calibri" w:hAnsi="Calibri"/>
          <w:b/>
          <w:color w:val="1E293B"/>
          <w:sz w:val="24"/>
        </w:rPr>
        <w:t>Paso 3: Tercer Contacto — Excepciones de Cobro en Pista (Post Cierre)</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¿Cómo manejan los cobros rechazados en el cierre?</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Una duda operativa rápida: cuando un cobro con tarjeta en la posición se rechaza o requiere aclaración al corte de turno, ¿cómo lo concilian hoy contra el reporte volumétrico?</w:t>
            </w:r>
          </w:p>
          <w:p>
            <w:pPr>
              <w:spacing w:before="0" w:after="60"/>
            </w:pPr>
            <w:r>
              <w:rPr>
                <w:rFonts w:ascii="Calibri" w:hAnsi="Calibri"/>
                <w:color w:val="1E293B"/>
                <w:sz w:val="22"/>
              </w:rPr>
            </w:r>
          </w:p>
          <w:p>
            <w:pPr>
              <w:spacing w:before="0" w:after="60"/>
            </w:pPr>
            <w:r>
              <w:rPr>
                <w:rFonts w:ascii="Calibri" w:hAnsi="Calibri"/>
                <w:color w:val="1E293B"/>
                <w:sz w:val="22"/>
              </w:rPr>
              <w:t>No busco asumir que tengan un problema en su proceso actual. Solo queremos confirmar si la capa de integración de PayMind con volumétricos representa algún valor para su grupo.</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00" w:after="40"/>
      </w:pPr>
      <w:r>
        <w:rPr>
          <w:rFonts w:ascii="Calibri" w:hAnsi="Calibri"/>
          <w:b/>
          <w:color w:val="1E293B"/>
          <w:sz w:val="24"/>
        </w:rPr>
        <w:t>Paso 4: Cuarto Contacto — Validar Relevancia (Enrutamiento)</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¿Vale la pena revisar este flujo?</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Si la conciliación entre terminales y el sistema volumétrico ya funciona de forma transparente en su estación, no quiero quitarle tiempo.</w:t>
            </w:r>
          </w:p>
          <w:p>
            <w:pPr>
              <w:spacing w:before="0" w:after="60"/>
            </w:pPr>
            <w:r>
              <w:rPr>
                <w:rFonts w:ascii="Calibri" w:hAnsi="Calibri"/>
                <w:color w:val="1E293B"/>
                <w:sz w:val="22"/>
              </w:rPr>
            </w:r>
          </w:p>
          <w:p>
            <w:pPr>
              <w:spacing w:before="0" w:after="60"/>
            </w:pPr>
            <w:r>
              <w:rPr>
                <w:rFonts w:ascii="Calibri" w:hAnsi="Calibri"/>
                <w:color w:val="1E293B"/>
                <w:sz w:val="22"/>
              </w:rPr>
              <w:t>Si considera que vale la pena revisar una alternativa de integración en pista, ¿con quién de operaciones, sistemas o administración convendría conversar 10 minutos?</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p>
      <w:pPr>
        <w:spacing w:before="200" w:after="40"/>
      </w:pPr>
      <w:r>
        <w:rPr>
          <w:rFonts w:ascii="Calibri" w:hAnsi="Calibri"/>
          <w:b/>
          <w:color w:val="1E293B"/>
          <w:sz w:val="24"/>
        </w:rPr>
        <w:t>Paso 5: Quinto Contacto — Cierre Transparente de Hilo</w:t>
      </w:r>
    </w:p>
    <w:tbl>
      <w:tblPr>
        <w:tblW w:type="auto" w:w="0"/>
        <w:tblLayout w:type="fixed"/>
        <w:tblLook w:firstColumn="1" w:firstRow="1" w:lastColumn="0" w:lastRow="0" w:noHBand="0" w:noVBand="1" w:val="04A0"/>
      </w:tblPr>
      <w:tblGrid>
        <w:gridCol w:w="9792"/>
      </w:tblGrid>
      <w:tr>
        <w:tc>
          <w:tcPr>
            <w:tcW w:type="dxa" w:w="9936"/>
            <w:shd w:fill="F8FAFC"/>
          </w:tcPr>
          <w:p>
            <w:pPr>
              <w:spacing w:before="120" w:after="80"/>
            </w:pPr>
            <w:r>
              <w:rPr>
                <w:rFonts w:ascii="Calibri" w:hAnsi="Calibri"/>
                <w:b/>
                <w:color w:val="E11D48"/>
              </w:rPr>
              <w:t xml:space="preserve">📌 ASUNTO: </w:t>
            </w:r>
            <w:r>
              <w:rPr>
                <w:rFonts w:ascii="Calibri" w:hAnsi="Calibri"/>
                <w:b/>
                <w:color w:val="0F172A"/>
                <w:sz w:val="24"/>
              </w:rPr>
              <w:t>Cierro la consulta</w:t>
            </w:r>
          </w:p>
          <w:p>
            <w:pPr>
              <w:spacing w:before="0" w:after="80"/>
            </w:pPr>
            <w:r>
              <w:rPr>
                <w:rFonts w:ascii="Calibri" w:hAnsi="Calibri"/>
                <w:b/>
                <w:color w:val="475569"/>
                <w:sz w:val="20"/>
              </w:rPr>
              <w:t>✉️ CUERPO DEL CORREO (Copiar todo el bloque):</w:t>
            </w:r>
          </w:p>
          <w:p>
            <w:pPr>
              <w:spacing w:before="0" w:after="60"/>
            </w:pPr>
            <w:r>
              <w:rPr>
                <w:rFonts w:ascii="Calibri" w:hAnsi="Calibri"/>
                <w:color w:val="1E293B"/>
                <w:sz w:val="22"/>
              </w:rPr>
              <w:t>Buen día,</w:t>
            </w:r>
          </w:p>
          <w:p>
            <w:pPr>
              <w:spacing w:before="0" w:after="60"/>
            </w:pPr>
            <w:r>
              <w:rPr>
                <w:rFonts w:ascii="Calibri" w:hAnsi="Calibri"/>
                <w:color w:val="1E293B"/>
                <w:sz w:val="22"/>
              </w:rPr>
            </w:r>
          </w:p>
          <w:p>
            <w:pPr>
              <w:spacing w:before="0" w:after="60"/>
            </w:pPr>
            <w:r>
              <w:rPr>
                <w:rFonts w:ascii="Calibri" w:hAnsi="Calibri"/>
                <w:color w:val="1E293B"/>
                <w:sz w:val="22"/>
              </w:rPr>
              <w:t>Cierro el hilo para no insistir. Entiendo que las prioridades de operación y cierre de mes son exigentes.</w:t>
            </w:r>
          </w:p>
          <w:p>
            <w:pPr>
              <w:spacing w:before="0" w:after="60"/>
            </w:pPr>
            <w:r>
              <w:rPr>
                <w:rFonts w:ascii="Calibri" w:hAnsi="Calibri"/>
                <w:color w:val="1E293B"/>
                <w:sz w:val="22"/>
              </w:rPr>
            </w:r>
          </w:p>
          <w:p>
            <w:pPr>
              <w:spacing w:before="0" w:after="60"/>
            </w:pPr>
            <w:r>
              <w:rPr>
                <w:rFonts w:ascii="Calibri" w:hAnsi="Calibri"/>
                <w:color w:val="1E293B"/>
                <w:sz w:val="22"/>
              </w:rPr>
              <w:t>Si más adelante tiene sentido revisar la integración de cobro en pista con su volumétrico, quedo a la orden.</w:t>
            </w:r>
          </w:p>
          <w:p>
            <w:pPr>
              <w:spacing w:before="0" w:after="60"/>
            </w:pPr>
            <w:r>
              <w:rPr>
                <w:rFonts w:ascii="Calibri" w:hAnsi="Calibri"/>
                <w:color w:val="1E293B"/>
                <w:sz w:val="22"/>
              </w:rPr>
            </w:r>
          </w:p>
          <w:p>
            <w:pPr>
              <w:spacing w:before="0" w:after="60"/>
            </w:pPr>
            <w:r>
              <w:rPr>
                <w:rFonts w:ascii="Calibri" w:hAnsi="Calibri"/>
                <w:color w:val="1E293B"/>
                <w:sz w:val="22"/>
              </w:rPr>
              <w:t>Saludos,</w:t>
            </w:r>
          </w:p>
          <w:p>
            <w:pPr>
              <w:spacing w:before="0" w:after="60"/>
            </w:pPr>
            <w:r>
              <w:rPr>
                <w:rFonts w:ascii="Calibri" w:hAnsi="Calibri"/>
                <w:color w:val="1E293B"/>
                <w:sz w:val="22"/>
              </w:rPr>
              <w:t>Antonio Gutiérrez</w:t>
            </w:r>
          </w:p>
          <w:p>
            <w:pPr>
              <w:spacing w:before="0" w:after="60"/>
            </w:pPr>
            <w:r>
              <w:rPr>
                <w:rFonts w:ascii="Calibri" w:hAnsi="Calibri"/>
                <w:color w:val="1E293B"/>
                <w:sz w:val="22"/>
              </w:rPr>
              <w:t>PayMind</w:t>
            </w:r>
          </w:p>
          <w:p>
            <w:pPr>
              <w:spacing w:before="0" w:after="60"/>
            </w:pPr>
            <w:r>
              <w:rPr>
                <w:rFonts w:ascii="Calibri" w:hAnsi="Calibri"/>
                <w:color w:val="1E293B"/>
                <w:sz w:val="22"/>
              </w:rPr>
              <w:t>antonio.gutierrez@paymind.mx</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