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</w:pPr>
      <w:r>
        <w:rPr>
          <w:rFonts w:ascii="Calibri" w:hAnsi="Calibri"/>
          <w:b/>
          <w:color w:val="0F172A"/>
          <w:sz w:val="40"/>
        </w:rPr>
        <w:t>📄 RESUMEN EJECUTIVO: PLAN GTM IN-HOUSE VS. AGENCIA EXTERNA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**Para:** Dirección General / CEO de PayMind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**De:** Antonio Gutiérrez | Consultor de Crecimiento &amp; Pagos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**Asunto:** Comparativa de ROI, Velocidad y Justificación de Inversión en Equipo In-House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**Formato:** One-Pager Ejecutivo (Lectura de 2 minutos)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⚡ 1. La Comparativa Directa: Agencia ($30k/mes) vs. Motor In-House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Criterio Estratégico</w:t>
            </w:r>
          </w:p>
        </w:tc>
        <w:tc>
          <w:tcPr>
            <w:tcW w:type="dxa" w:w="3312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🔴 Agencia Externa (Metrica MD)</w:t>
            </w:r>
          </w:p>
        </w:tc>
        <w:tc>
          <w:tcPr>
            <w:tcW w:type="dxa" w:w="3312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🟢 Motor In-House (PayMind Growth Engine)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Costo Operativo 4 Meses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`$120,000 MXN`</w:t>
            </w:r>
            <w:r>
              <w:rPr>
                <w:rFonts w:ascii="Calibri" w:hAnsi="Calibri"/>
                <w:color w:val="334155"/>
                <w:sz w:val="22"/>
              </w:rPr>
              <w:t xml:space="preserve"> ($30,000 MXN/mes)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`~$4,000 MXN`</w:t>
            </w:r>
            <w:r>
              <w:rPr>
                <w:rFonts w:ascii="Calibri" w:hAnsi="Calibri"/>
                <w:color w:val="334155"/>
                <w:sz w:val="22"/>
              </w:rPr>
              <w:t xml:space="preserve"> ($50 USD/mes Snov.io)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Inversión Única de Equipo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$0 (Ellos usan sus equipos)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`$10,000 a $30,000 MXN`</w:t>
            </w:r>
            <w:r>
              <w:rPr>
                <w:rFonts w:ascii="Calibri" w:hAnsi="Calibri"/>
                <w:color w:val="334155"/>
                <w:sz w:val="22"/>
              </w:rPr>
              <w:t xml:space="preserve"> *(1 sola laptop de trabajo)*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Ahorro Directo Neto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$0 MXN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`$86,000 a $106,000 MXN Netos`</w:t>
            </w:r>
            <w:r>
              <w:rPr>
                <w:rFonts w:ascii="Calibri" w:hAnsi="Calibri"/>
                <w:color w:val="334155"/>
                <w:sz w:val="22"/>
              </w:rPr>
              <w:t xml:space="preserve"> *(Rescatados hoy)*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Tiempo para Primeros Resultados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4 Meses</w:t>
            </w:r>
            <w:r>
              <w:rPr>
                <w:rFonts w:ascii="Calibri" w:hAnsi="Calibri"/>
                <w:color w:val="334155"/>
                <w:sz w:val="22"/>
              </w:rPr>
              <w:t xml:space="preserve"> ("Construir todo desde cero")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Inmediato (Día 1)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Base de Datos Inicial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0 Prospectos (Saldrían a buscar)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433 Gasolineras Cualificadas y Segmentadas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Conocimiento de Dominio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Genérico (Posteos de "branding" en redes)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Especialización Operativa &amp; Fiscal:</w:t>
            </w:r>
            <w:r>
              <w:rPr>
                <w:rFonts w:ascii="Calibri" w:hAnsi="Calibri"/>
                <w:color w:val="334155"/>
                <w:sz w:val="22"/>
              </w:rPr>
              <w:t xml:space="preserve"> Anexo 30 SAT, Nexgo ATEX, ruteo multibanco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Herramientas de Conversión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Banners estáticos en borrador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Calculadora Web en Vivo</w:t>
            </w:r>
            <w:r>
              <w:rPr>
                <w:rFonts w:ascii="Calibri" w:hAnsi="Calibri"/>
                <w:color w:val="334155"/>
                <w:sz w:val="22"/>
              </w:rPr>
              <w:t xml:space="preserve"> (</w:t>
            </w:r>
            <w:r>
              <w:rPr>
                <w:rFonts w:ascii="Calibri" w:hAnsi="Calibri"/>
                <w:color w:val="2563EB"/>
                <w:u w:val="single"/>
              </w:rPr>
              <w:t>`paymind-growth-engine.pages.dev`</w:t>
            </w:r>
            <w:r>
              <w:rPr>
                <w:rFonts w:ascii="Calibri" w:hAnsi="Calibri"/>
                <w:color w:val="334155"/>
                <w:sz w:val="22"/>
              </w:rPr>
              <w:t>) + 2 Lead Magnets</w:t>
            </w:r>
          </w:p>
        </w:tc>
      </w:tr>
    </w:tbl>
    <w:p/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🎯 2. Los 4 Activos In-House Listos para Desplegar HOY</w:t>
      </w:r>
    </w:p>
    <w:p>
      <w:pPr>
        <w:pStyle w:val="ListNumber"/>
        <w:spacing w:after="60"/>
      </w:pPr>
      <w:r>
        <w:rPr>
          <w:rFonts w:ascii="Calibri" w:hAnsi="Calibri"/>
          <w:b/>
          <w:color w:val="0F172A"/>
        </w:rPr>
        <w:t>Base de Datos Segmentada en 3 Clusters GTM (433 Contactos):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*Cluster 1 (Top Tier ABM):* 10 Macro-Grupos (Ruteo Puro + Conciliación ERP sin cambiar de banco - Modelo ORSAN).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*Cluster 2 (Mid Market):* 331 Cadenas Regionales (Integración a ControlGAS, eGas, NexusFuel + Vales T+1).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*Cluster 3 (Long Tail):* 92 Independientes (Adquirencia Directa PayMind + SmartPOS Nexgo ATEX Llave en Mano).</w:t>
      </w:r>
    </w:p>
    <w:p>
      <w:pPr>
        <w:pStyle w:val="ListNumber"/>
        <w:spacing w:after="60"/>
      </w:pPr>
      <w:r>
        <w:rPr>
          <w:rFonts w:ascii="Calibri" w:hAnsi="Calibri"/>
          <w:b/>
          <w:color w:val="0F172A"/>
        </w:rPr>
        <w:t>2 Lead Magnets Técnicos de 1 Página (Cero Paja):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*Operativo/Fiscal:* Check-Up de 5 Puntos Anexo 30 SAT / PROFECO (Error de tecleo 4.2%).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*Financiero:* Matriz de Optimización Bancaria (Ahorro del 0.6% por litro = Recuperar 1 pipa de gasolina al año por estación).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3. </w:t>
      </w:r>
      <w:r>
        <w:rPr>
          <w:rFonts w:ascii="Calibri" w:hAnsi="Calibri"/>
          <w:b/>
          <w:color w:val="0F172A"/>
        </w:rPr>
        <w:t>Estrategia de Océano Azul (Mercado Fragmentado):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 xml:space="preserve">Captura en bloque de más de 3,500 estaciones integrándonos a </w:t>
      </w:r>
      <w:r>
        <w:rPr>
          <w:rFonts w:ascii="Calibri" w:hAnsi="Calibri"/>
          <w:b/>
          <w:color w:val="0F172A"/>
        </w:rPr>
        <w:t>eGas (+1,500 est.)</w:t>
      </w:r>
      <w:r>
        <w:rPr>
          <w:rFonts w:ascii="Calibri" w:hAnsi="Calibri"/>
          <w:color w:val="334155"/>
          <w:sz w:val="22"/>
        </w:rPr>
        <w:t xml:space="preserve"> y </w:t>
      </w:r>
      <w:r>
        <w:rPr>
          <w:rFonts w:ascii="Calibri" w:hAnsi="Calibri"/>
          <w:b/>
          <w:color w:val="0F172A"/>
        </w:rPr>
        <w:t>Gasomarshal Odoo (+350 est.)</w:t>
      </w:r>
      <w:r>
        <w:rPr>
          <w:rFonts w:ascii="Calibri" w:hAnsi="Calibri"/>
          <w:color w:val="334155"/>
          <w:sz w:val="22"/>
        </w:rPr>
        <w:t xml:space="preserve"> sin competir con ATIO.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4. </w:t>
      </w:r>
      <w:r>
        <w:rPr>
          <w:rFonts w:ascii="Calibri" w:hAnsi="Calibri"/>
          <w:b/>
          <w:color w:val="0F172A"/>
        </w:rPr>
        <w:t>Calculadora Financiera Web Interactiva: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Simulación en tiempo real del ahorro neto en comisiones adquirentes para el gasolinero.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📊 3. El Retorno de Inversión (ROI) para la Dirección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Inversión Propuesta:</w:t>
      </w:r>
      <w:r>
        <w:rPr>
          <w:rFonts w:ascii="Calibri" w:hAnsi="Calibri"/>
          <w:color w:val="334155"/>
          <w:sz w:val="22"/>
        </w:rPr>
        <w:t xml:space="preserve"> Autorizar la compra de </w:t>
      </w:r>
      <w:r>
        <w:rPr>
          <w:rFonts w:ascii="Calibri" w:hAnsi="Calibri"/>
          <w:b/>
          <w:color w:val="0F172A"/>
        </w:rPr>
        <w:t>1 Laptop de Trabajo ($10,000 a $30,000 MXN)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Ahorro Inmediato:</w:t>
      </w:r>
      <w:r>
        <w:rPr>
          <w:rFonts w:ascii="Calibri" w:hAnsi="Calibri"/>
          <w:color w:val="334155"/>
          <w:sz w:val="22"/>
        </w:rPr>
        <w:t xml:space="preserve"> Se cancela el contrato de agencia de </w:t>
      </w:r>
      <w:r>
        <w:rPr>
          <w:rFonts w:ascii="Calibri" w:hAnsi="Calibri"/>
          <w:b/>
          <w:color w:val="0F172A"/>
        </w:rPr>
        <w:t>$120,000 MXN</w:t>
      </w:r>
      <w:r>
        <w:rPr>
          <w:rFonts w:ascii="Calibri" w:hAnsi="Calibri"/>
          <w:color w:val="334155"/>
          <w:sz w:val="22"/>
        </w:rPr>
        <w:t xml:space="preserve"> a 4 meses.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Proyección de Conversión (Probabilística sobre 433 Gasolineras):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Probabilidad de Cierre $\ge 1$ Grupo Gasolinero:</w:t>
      </w:r>
      <w:r>
        <w:rPr>
          <w:rFonts w:ascii="Calibri" w:hAnsi="Calibri"/>
          <w:color w:val="334155"/>
          <w:sz w:val="22"/>
        </w:rPr>
        <w:t xml:space="preserve"> </w:t>
      </w:r>
      <w:r>
        <w:rPr>
          <w:rFonts w:ascii="Calibri" w:hAnsi="Calibri"/>
          <w:b/>
          <w:color w:val="0F172A"/>
        </w:rPr>
        <w:t>`90.8%`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Ingreso Recurrente Anual Estimado para PayMind:</w:t>
      </w:r>
      <w:r>
        <w:rPr>
          <w:rFonts w:ascii="Calibri" w:hAnsi="Calibri"/>
          <w:color w:val="334155"/>
          <w:sz w:val="22"/>
        </w:rPr>
        <w:t xml:space="preserve"> </w:t>
      </w:r>
      <w:r>
        <w:rPr>
          <w:rFonts w:ascii="Calibri" w:hAnsi="Calibri"/>
          <w:b/>
          <w:color w:val="0F172A"/>
        </w:rPr>
        <w:t>`$324,000 a $486,000 MXN`</w:t>
      </w:r>
      <w:r>
        <w:rPr>
          <w:rFonts w:ascii="Calibri" w:hAnsi="Calibri"/>
          <w:color w:val="334155"/>
          <w:sz w:val="22"/>
        </w:rPr>
        <w:t xml:space="preserve"> por procesamiento adquirente T+1.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💡 CONCLUSIÓN Y DECISIÓN EJECUTIVA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**"Pagar $30,000 MXN/mes a una agencia para que aprenda en 4 meses cómo funciona una gasolinera es un desperdicio de capital. Con una inversión única de $10k-$30k en una laptop de trabajo, activamos hoy mismo la prospección de 433 gasolineras con un retorno esperado de más de $300k anuales."**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