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Auditoría independiente de cifras</w:t>
      </w:r>
    </w:p>
    <w:p>
      <w:pPr>
        <w:keepNext/>
        <w:spacing w:before="240" w:after="120"/>
      </w:pPr>
      <w:r>
        <w:rPr>
          <w:rFonts w:ascii="Calibri" w:hAnsi="Calibri"/>
          <w:b/>
          <w:color w:val="2563EB"/>
          <w:sz w:val="32"/>
        </w:rPr>
        <w:t>Caribe Mexicano Smart Pay</w:t>
      </w:r>
    </w:p>
    <w:p>
      <w:pPr>
        <w:spacing w:after="80"/>
      </w:pPr>
      <w:r>
        <w:rPr>
          <w:rFonts w:ascii="Calibri" w:hAnsi="Calibri"/>
          <w:b/>
          <w:color w:val="0F172A"/>
        </w:rPr>
        <w:t>Objetivo:</w:t>
      </w:r>
      <w:r>
        <w:rPr>
          <w:rFonts w:ascii="Calibri" w:hAnsi="Calibri"/>
          <w:color w:val="334155"/>
          <w:sz w:val="22"/>
        </w:rPr>
        <w:t xml:space="preserve"> determinar si las cifras del proyecto pueden presentarse ante un CEO sin parecer infladas.</w:t>
      </w:r>
    </w:p>
    <w:p>
      <w:pPr>
        <w:spacing w:after="80"/>
      </w:pPr>
      <w:r>
        <w:rPr>
          <w:rFonts w:ascii="Calibri" w:hAnsi="Calibri"/>
          <w:b/>
          <w:color w:val="0F172A"/>
        </w:rPr>
        <w:t>Corte de datos principales:</w:t>
      </w:r>
      <w:r>
        <w:rPr>
          <w:rFonts w:ascii="Calibri" w:hAnsi="Calibri"/>
          <w:color w:val="334155"/>
          <w:sz w:val="22"/>
        </w:rPr>
        <w:t xml:space="preserve"> enero–diciembre de 2024 para Quintana Roo; contexto de pagos actualizado con publicaciones oficiales disponibles hasta 2026.</w:t>
      </w:r>
    </w:p>
    <w:p>
      <w:pPr>
        <w:keepNext/>
        <w:spacing w:before="240" w:after="120"/>
      </w:pPr>
      <w:r>
        <w:rPr>
          <w:rFonts w:ascii="Calibri" w:hAnsi="Calibri"/>
          <w:b/>
          <w:color w:val="2563EB"/>
          <w:sz w:val="32"/>
        </w:rPr>
        <w:t>Conclusión ejecutiva</w:t>
      </w:r>
    </w:p>
    <w:p>
      <w:pPr>
        <w:spacing w:after="80"/>
      </w:pPr>
      <w:r>
        <w:rPr>
          <w:rFonts w:ascii="Calibri" w:hAnsi="Calibri"/>
          <w:color w:val="334155"/>
          <w:sz w:val="22"/>
        </w:rPr>
        <w:t xml:space="preserve">La preocupación es válida: </w:t>
      </w:r>
      <w:r>
        <w:rPr>
          <w:rFonts w:ascii="Calibri" w:hAnsi="Calibri"/>
          <w:b/>
          <w:color w:val="0F172A"/>
        </w:rPr>
        <w:t>las cifras originales del repositorio están infladas o mezclan definiciones cuando se presentan como un único universo de turistas sudamericanos</w:t>
      </w:r>
      <w:r>
        <w:rPr>
          <w:rFonts w:ascii="Calibri" w:hAnsi="Calibri"/>
          <w:color w:val="334155"/>
          <w:sz w:val="22"/>
        </w:rPr>
        <w:t xml:space="preserve">. La cifra que sí puede defenderse con una fuente oficial estatal es mucho más precisa: </w:t>
      </w:r>
      <w:r>
        <w:rPr>
          <w:rFonts w:ascii="Calibri" w:hAnsi="Calibri"/>
          <w:b/>
          <w:color w:val="0F172A"/>
        </w:rPr>
        <w:t>573,875 pasajeros por país de residencia</w:t>
      </w:r>
      <w:r>
        <w:rPr>
          <w:rFonts w:ascii="Calibri" w:hAnsi="Calibri"/>
          <w:color w:val="334155"/>
          <w:sz w:val="22"/>
        </w:rPr>
        <w:t xml:space="preserve"> de Colombia, Argentina, Brasil y Perú que llegaron a los aeropuertos de Quintana Roo durante 2024.[1]</w:t>
      </w:r>
    </w:p>
    <w:p>
      <w:pPr>
        <w:spacing w:after="80"/>
      </w:pPr>
      <w:r>
        <w:rPr>
          <w:rFonts w:ascii="Calibri" w:hAnsi="Calibri"/>
          <w:color w:val="334155"/>
          <w:sz w:val="22"/>
        </w:rPr>
        <w:t>El dato no debe llamarse automáticamente “turistas únicos”, porque el reporte mide pasajeros/entradas y una persona puede generar más de un evento o viaje. Tampoco debe mezclarse con llegadas por nacionalidad. En la misma publicación, los valores por nacionalidad suman 617,551 para esos cuatro mercados, mientras que por residencia suman 573,875.[1]</w:t>
      </w:r>
    </w:p>
    <w:p>
      <w:pPr>
        <w:spacing w:after="80"/>
      </w:pPr>
      <w:r>
        <w:rPr>
          <w:rFonts w:ascii="Calibri" w:hAnsi="Calibri"/>
          <w:color w:val="334155"/>
          <w:sz w:val="22"/>
        </w:rPr>
        <w:t xml:space="preserve">Por ello, el one-pager CEO debe dejar de usar </w:t>
      </w:r>
      <w:r>
        <w:rPr>
          <w:rFonts w:ascii="Calibri" w:hAnsi="Calibri"/>
          <w:b/>
          <w:color w:val="0F172A"/>
        </w:rPr>
        <w:t>850,000–1,050,000 turistas</w:t>
      </w:r>
      <w:r>
        <w:rPr>
          <w:rFonts w:ascii="Calibri" w:hAnsi="Calibri"/>
          <w:color w:val="334155"/>
          <w:sz w:val="22"/>
        </w:rPr>
        <w:t xml:space="preserve"> como hecho oficial. Esa horquilla puede conservarse únicamente como </w:t>
      </w:r>
      <w:r>
        <w:rPr>
          <w:rFonts w:ascii="Calibri" w:hAnsi="Calibri"/>
          <w:b/>
          <w:color w:val="0F172A"/>
        </w:rPr>
        <w:t>universo comercial ampliado o escenario de mercado</w:t>
      </w:r>
      <w:r>
        <w:rPr>
          <w:rFonts w:ascii="Calibri" w:hAnsi="Calibri"/>
          <w:color w:val="334155"/>
          <w:sz w:val="22"/>
        </w:rPr>
        <w:t>, pero no como la base comprobada de Quintana Roo.</w:t>
      </w:r>
    </w:p>
    <w:p>
      <w:pPr>
        <w:keepNext/>
        <w:spacing w:before="240" w:after="120"/>
      </w:pPr>
      <w:r>
        <w:rPr>
          <w:rFonts w:ascii="Calibri" w:hAnsi="Calibri"/>
          <w:b/>
          <w:color w:val="2563EB"/>
          <w:sz w:val="32"/>
        </w:rPr>
        <w:t>La base oficial de Quintana Roo</w:t>
      </w:r>
    </w:p>
    <w:p>
      <w:pPr>
        <w:spacing w:after="80"/>
      </w:pPr>
      <w:r>
        <w:rPr>
          <w:rFonts w:ascii="Calibri" w:hAnsi="Calibri"/>
          <w:color w:val="334155"/>
          <w:sz w:val="22"/>
        </w:rPr>
        <w:t xml:space="preserve">El informe oficial de </w:t>
      </w:r>
      <w:r>
        <w:rPr>
          <w:rFonts w:ascii="Calibri" w:hAnsi="Calibri"/>
          <w:b/>
          <w:color w:val="0F172A"/>
        </w:rPr>
        <w:t>SITUR Quintana Roo — Mercados Estratégicos, diciembre de 2024</w:t>
      </w:r>
      <w:r>
        <w:rPr>
          <w:rFonts w:ascii="Calibri" w:hAnsi="Calibri"/>
          <w:color w:val="334155"/>
          <w:sz w:val="22"/>
        </w:rPr>
        <w:t>, elaborado con información del Instituto Nacional de Migración y Aeronáutica Civil, reporta:[1]</w:t>
      </w:r>
    </w:p>
    <w:tbl>
      <w:tblPr>
        <w:tblW w:type="auto" w:w="0"/>
        <w:jc w:val="center"/>
        <w:tblLook w:firstColumn="1" w:firstRow="1" w:lastColumn="0" w:lastRow="0" w:noHBand="0" w:noVBand="1" w:val="04A0"/>
      </w:tblPr>
      <w:tblGrid>
        <w:gridCol w:w="4968"/>
        <w:gridCol w:w="4968"/>
      </w:tblGrid>
      <w:tr>
        <w:tc>
          <w:tcPr>
            <w:tcW w:type="dxa" w:w="4968"/>
            <w:shd w:fill="0F172A"/>
          </w:tcPr>
          <w:p>
            <w:pPr>
              <w:spacing w:after="40" w:before="40"/>
            </w:pPr>
            <w:r>
              <w:rPr>
                <w:rFonts w:ascii="Calibri" w:hAnsi="Calibri"/>
                <w:b/>
                <w:color w:val="FFFFFF"/>
                <w:sz w:val="22"/>
              </w:rPr>
              <w:t>Métrica 2024</w:t>
            </w:r>
          </w:p>
        </w:tc>
        <w:tc>
          <w:tcPr>
            <w:tcW w:type="dxa" w:w="4968"/>
            <w:shd w:fill="0F172A"/>
          </w:tcPr>
          <w:p>
            <w:pPr>
              <w:spacing w:after="40" w:before="40"/>
            </w:pPr>
            <w:r>
              <w:rPr>
                <w:rFonts w:ascii="Calibri" w:hAnsi="Calibri"/>
                <w:b/>
                <w:color w:val="FFFFFF"/>
                <w:sz w:val="22"/>
              </w:rPr>
              <w:t>Valor</w:t>
            </w:r>
          </w:p>
        </w:tc>
      </w:tr>
      <w:tr>
        <w:tc>
          <w:tcPr>
            <w:tcW w:type="dxa" w:w="4968"/>
            <w:shd w:fill="F8FAFC"/>
          </w:tcPr>
          <w:p>
            <w:pPr>
              <w:spacing w:after="40" w:before="40"/>
            </w:pPr>
            <w:r>
              <w:rPr>
                <w:rFonts w:ascii="Calibri" w:hAnsi="Calibri"/>
                <w:color w:val="334155"/>
                <w:sz w:val="22"/>
              </w:rPr>
              <w:t>Pasajeros totales en aeropuertos de Quintana Roo</w:t>
            </w:r>
          </w:p>
        </w:tc>
        <w:tc>
          <w:tcPr>
            <w:tcW w:type="dxa" w:w="4968"/>
            <w:shd w:fill="F8FAFC"/>
          </w:tcPr>
          <w:p>
            <w:pPr>
              <w:spacing w:after="40" w:before="40"/>
            </w:pPr>
            <w:r>
              <w:rPr>
                <w:rFonts w:ascii="Calibri" w:hAnsi="Calibri"/>
                <w:color w:val="334155"/>
                <w:sz w:val="22"/>
              </w:rPr>
              <w:t>15,945,568</w:t>
            </w:r>
          </w:p>
        </w:tc>
      </w:tr>
      <w:tr>
        <w:tc>
          <w:tcPr>
            <w:tcW w:type="dxa" w:w="4968"/>
          </w:tcPr>
          <w:p>
            <w:pPr>
              <w:spacing w:after="40" w:before="40"/>
            </w:pPr>
            <w:r>
              <w:rPr>
                <w:rFonts w:ascii="Calibri" w:hAnsi="Calibri"/>
                <w:color w:val="334155"/>
                <w:sz w:val="22"/>
              </w:rPr>
              <w:t>Pasajeros internacionales</w:t>
            </w:r>
          </w:p>
        </w:tc>
        <w:tc>
          <w:tcPr>
            <w:tcW w:type="dxa" w:w="4968"/>
          </w:tcPr>
          <w:p>
            <w:pPr>
              <w:spacing w:after="40" w:before="40"/>
            </w:pPr>
            <w:r>
              <w:rPr>
                <w:rFonts w:ascii="Calibri" w:hAnsi="Calibri"/>
                <w:color w:val="334155"/>
                <w:sz w:val="22"/>
              </w:rPr>
              <w:t>10,314,613</w:t>
            </w:r>
          </w:p>
        </w:tc>
      </w:tr>
      <w:tr>
        <w:tc>
          <w:tcPr>
            <w:tcW w:type="dxa" w:w="4968"/>
            <w:shd w:fill="F8FAFC"/>
          </w:tcPr>
          <w:p>
            <w:pPr>
              <w:spacing w:after="40" w:before="40"/>
            </w:pPr>
            <w:r>
              <w:rPr>
                <w:rFonts w:ascii="Calibri" w:hAnsi="Calibri"/>
                <w:color w:val="334155"/>
                <w:sz w:val="22"/>
              </w:rPr>
              <w:t>Colombia, por residencia</w:t>
            </w:r>
          </w:p>
        </w:tc>
        <w:tc>
          <w:tcPr>
            <w:tcW w:type="dxa" w:w="4968"/>
            <w:shd w:fill="F8FAFC"/>
          </w:tcPr>
          <w:p>
            <w:pPr>
              <w:spacing w:after="40" w:before="40"/>
            </w:pPr>
            <w:r>
              <w:rPr>
                <w:rFonts w:ascii="Calibri" w:hAnsi="Calibri"/>
                <w:color w:val="334155"/>
                <w:sz w:val="22"/>
              </w:rPr>
              <w:t>219,848</w:t>
            </w:r>
          </w:p>
        </w:tc>
      </w:tr>
      <w:tr>
        <w:tc>
          <w:tcPr>
            <w:tcW w:type="dxa" w:w="4968"/>
          </w:tcPr>
          <w:p>
            <w:pPr>
              <w:spacing w:after="40" w:before="40"/>
            </w:pPr>
            <w:r>
              <w:rPr>
                <w:rFonts w:ascii="Calibri" w:hAnsi="Calibri"/>
                <w:color w:val="334155"/>
                <w:sz w:val="22"/>
              </w:rPr>
              <w:t>Argentina, por residencia</w:t>
            </w:r>
          </w:p>
        </w:tc>
        <w:tc>
          <w:tcPr>
            <w:tcW w:type="dxa" w:w="4968"/>
          </w:tcPr>
          <w:p>
            <w:pPr>
              <w:spacing w:after="40" w:before="40"/>
            </w:pPr>
            <w:r>
              <w:rPr>
                <w:rFonts w:ascii="Calibri" w:hAnsi="Calibri"/>
                <w:color w:val="334155"/>
                <w:sz w:val="22"/>
              </w:rPr>
              <w:t>217,197</w:t>
            </w:r>
          </w:p>
        </w:tc>
      </w:tr>
      <w:tr>
        <w:tc>
          <w:tcPr>
            <w:tcW w:type="dxa" w:w="4968"/>
            <w:shd w:fill="F8FAFC"/>
          </w:tcPr>
          <w:p>
            <w:pPr>
              <w:spacing w:after="40" w:before="40"/>
            </w:pPr>
            <w:r>
              <w:rPr>
                <w:rFonts w:ascii="Calibri" w:hAnsi="Calibri"/>
                <w:color w:val="334155"/>
                <w:sz w:val="22"/>
              </w:rPr>
              <w:t>Brasil, por residencia</w:t>
            </w:r>
          </w:p>
        </w:tc>
        <w:tc>
          <w:tcPr>
            <w:tcW w:type="dxa" w:w="4968"/>
            <w:shd w:fill="F8FAFC"/>
          </w:tcPr>
          <w:p>
            <w:pPr>
              <w:spacing w:after="40" w:before="40"/>
            </w:pPr>
            <w:r>
              <w:rPr>
                <w:rFonts w:ascii="Calibri" w:hAnsi="Calibri"/>
                <w:color w:val="334155"/>
                <w:sz w:val="22"/>
              </w:rPr>
              <w:t>73,888</w:t>
            </w:r>
          </w:p>
        </w:tc>
      </w:tr>
      <w:tr>
        <w:tc>
          <w:tcPr>
            <w:tcW w:type="dxa" w:w="4968"/>
          </w:tcPr>
          <w:p>
            <w:pPr>
              <w:spacing w:after="40" w:before="40"/>
            </w:pPr>
            <w:r>
              <w:rPr>
                <w:rFonts w:ascii="Calibri" w:hAnsi="Calibri"/>
                <w:color w:val="334155"/>
                <w:sz w:val="22"/>
              </w:rPr>
              <w:t>Perú, por residencia</w:t>
            </w:r>
          </w:p>
        </w:tc>
        <w:tc>
          <w:tcPr>
            <w:tcW w:type="dxa" w:w="4968"/>
          </w:tcPr>
          <w:p>
            <w:pPr>
              <w:spacing w:after="40" w:before="40"/>
            </w:pPr>
            <w:r>
              <w:rPr>
                <w:rFonts w:ascii="Calibri" w:hAnsi="Calibri"/>
                <w:color w:val="334155"/>
                <w:sz w:val="22"/>
              </w:rPr>
              <w:t>62,942</w:t>
            </w:r>
          </w:p>
        </w:tc>
      </w:tr>
      <w:tr>
        <w:tc>
          <w:tcPr>
            <w:tcW w:type="dxa" w:w="4968"/>
            <w:shd w:fill="F8FAFC"/>
          </w:tcPr>
          <w:p>
            <w:pPr>
              <w:spacing w:after="40" w:before="40"/>
            </w:pPr>
            <w:r>
              <w:rPr>
                <w:rFonts w:ascii="Calibri" w:hAnsi="Calibri"/>
                <w:b/>
                <w:color w:val="0F172A"/>
              </w:rPr>
              <w:t>Total cuatro mercados por residencia</w:t>
            </w:r>
          </w:p>
        </w:tc>
        <w:tc>
          <w:tcPr>
            <w:tcW w:type="dxa" w:w="4968"/>
            <w:shd w:fill="F8FAFC"/>
          </w:tcPr>
          <w:p>
            <w:pPr>
              <w:spacing w:after="40" w:before="40"/>
            </w:pPr>
            <w:r>
              <w:rPr>
                <w:rFonts w:ascii="Calibri" w:hAnsi="Calibri"/>
                <w:b/>
                <w:color w:val="0F172A"/>
              </w:rPr>
              <w:t>573,875</w:t>
            </w:r>
          </w:p>
        </w:tc>
      </w:tr>
      <w:tr>
        <w:tc>
          <w:tcPr>
            <w:tcW w:type="dxa" w:w="4968"/>
          </w:tcPr>
          <w:p>
            <w:pPr>
              <w:spacing w:after="40" w:before="40"/>
            </w:pPr>
            <w:r>
              <w:rPr>
                <w:rFonts w:ascii="Calibri" w:hAnsi="Calibri"/>
                <w:color w:val="334155"/>
                <w:sz w:val="22"/>
              </w:rPr>
              <w:t>Participación aproximada de los cuatro mercados sobre pasajeros internacionales</w:t>
            </w:r>
          </w:p>
        </w:tc>
        <w:tc>
          <w:tcPr>
            <w:tcW w:type="dxa" w:w="4968"/>
          </w:tcPr>
          <w:p>
            <w:pPr>
              <w:spacing w:after="40" w:before="40"/>
            </w:pPr>
            <w:r>
              <w:rPr>
                <w:rFonts w:ascii="Calibri" w:hAnsi="Calibri"/>
                <w:b/>
                <w:color w:val="0F172A"/>
              </w:rPr>
              <w:t>5.6%</w:t>
            </w:r>
          </w:p>
        </w:tc>
      </w:tr>
    </w:tbl>
    <w:p/>
    <w:p>
      <w:pPr>
        <w:spacing w:after="80"/>
      </w:pPr>
      <w:r>
        <w:rPr>
          <w:rFonts w:ascii="Calibri" w:hAnsi="Calibri"/>
          <w:color w:val="334155"/>
          <w:sz w:val="22"/>
        </w:rPr>
        <w:t xml:space="preserve">Estos valores son coherentes con la naturaleza de una fuente aeroportuaria/migratoria. Son una base de </w:t>
      </w:r>
      <w:r>
        <w:rPr>
          <w:rFonts w:ascii="Calibri" w:hAnsi="Calibri"/>
          <w:b/>
          <w:color w:val="0F172A"/>
        </w:rPr>
        <w:t>flujo observado</w:t>
      </w:r>
      <w:r>
        <w:rPr>
          <w:rFonts w:ascii="Calibri" w:hAnsi="Calibri"/>
          <w:color w:val="334155"/>
          <w:sz w:val="22"/>
        </w:rPr>
        <w:t>, no una medición directa del gasto en sitio ni una proyección de ventas.</w:t>
      </w:r>
    </w:p>
    <w:p>
      <w:pPr>
        <w:keepNext/>
        <w:spacing w:before="240" w:after="120"/>
      </w:pPr>
      <w:r>
        <w:rPr>
          <w:rFonts w:ascii="Calibri" w:hAnsi="Calibri"/>
          <w:b/>
          <w:color w:val="2563EB"/>
          <w:sz w:val="32"/>
        </w:rPr>
        <w:t>Por qué las cifras previas no deben circular como están</w:t>
      </w:r>
    </w:p>
    <w:tbl>
      <w:tblPr>
        <w:tblW w:type="auto" w:w="0"/>
        <w:jc w:val="center"/>
        <w:tblLook w:firstColumn="1" w:firstRow="1" w:lastColumn="0" w:lastRow="0" w:noHBand="0" w:noVBand="1" w:val="04A0"/>
      </w:tblPr>
      <w:tblGrid>
        <w:gridCol w:w="3312"/>
        <w:gridCol w:w="3312"/>
        <w:gridCol w:w="3312"/>
      </w:tblGrid>
      <w:tr>
        <w:tc>
          <w:tcPr>
            <w:tcW w:type="dxa" w:w="3312"/>
            <w:shd w:fill="0F172A"/>
          </w:tcPr>
          <w:p>
            <w:pPr>
              <w:spacing w:after="40" w:before="40"/>
            </w:pPr>
            <w:r>
              <w:rPr>
                <w:rFonts w:ascii="Calibri" w:hAnsi="Calibri"/>
                <w:b/>
                <w:color w:val="FFFFFF"/>
                <w:sz w:val="22"/>
              </w:rPr>
              <w:t>Cifra del proyecto</w:t>
            </w:r>
          </w:p>
        </w:tc>
        <w:tc>
          <w:tcPr>
            <w:tcW w:type="dxa" w:w="3312"/>
            <w:shd w:fill="0F172A"/>
          </w:tcPr>
          <w:p>
            <w:pPr>
              <w:spacing w:after="40" w:before="40"/>
            </w:pPr>
            <w:r>
              <w:rPr>
                <w:rFonts w:ascii="Calibri" w:hAnsi="Calibri"/>
                <w:b/>
                <w:color w:val="FFFFFF"/>
                <w:sz w:val="22"/>
              </w:rPr>
              <w:t>Problema</w:t>
            </w:r>
          </w:p>
        </w:tc>
        <w:tc>
          <w:tcPr>
            <w:tcW w:type="dxa" w:w="3312"/>
            <w:shd w:fill="0F172A"/>
          </w:tcPr>
          <w:p>
            <w:pPr>
              <w:spacing w:after="40" w:before="40"/>
            </w:pPr>
            <w:r>
              <w:rPr>
                <w:rFonts w:ascii="Calibri" w:hAnsi="Calibri"/>
                <w:b/>
                <w:color w:val="FFFFFF"/>
                <w:sz w:val="22"/>
              </w:rPr>
              <w:t>Tratamiento recomendado</w:t>
            </w:r>
          </w:p>
        </w:tc>
      </w:tr>
      <w:tr>
        <w:tc>
          <w:tcPr>
            <w:tcW w:type="dxa" w:w="3312"/>
            <w:shd w:fill="F8FAFC"/>
          </w:tcPr>
          <w:p>
            <w:pPr>
              <w:spacing w:after="40" w:before="40"/>
            </w:pPr>
            <w:r>
              <w:rPr>
                <w:rFonts w:ascii="Calibri" w:hAnsi="Calibri"/>
                <w:color w:val="334155"/>
                <w:sz w:val="22"/>
              </w:rPr>
              <w:t>850,000–1,050,000 turistas/año</w:t>
            </w:r>
          </w:p>
        </w:tc>
        <w:tc>
          <w:tcPr>
            <w:tcW w:type="dxa" w:w="3312"/>
            <w:shd w:fill="F8FAFC"/>
          </w:tcPr>
          <w:p>
            <w:pPr>
              <w:spacing w:after="40" w:before="40"/>
            </w:pPr>
            <w:r>
              <w:rPr>
                <w:rFonts w:ascii="Calibri" w:hAnsi="Calibri"/>
                <w:color w:val="334155"/>
                <w:sz w:val="22"/>
              </w:rPr>
              <w:t>No coincide con el dato oficial por residencia para 2024; mezcla rangos sin periodo ni definición única</w:t>
            </w:r>
          </w:p>
        </w:tc>
        <w:tc>
          <w:tcPr>
            <w:tcW w:type="dxa" w:w="3312"/>
            <w:shd w:fill="F8FAFC"/>
          </w:tcPr>
          <w:p>
            <w:pPr>
              <w:spacing w:after="40" w:before="40"/>
            </w:pPr>
            <w:r>
              <w:rPr>
                <w:rFonts w:ascii="Calibri" w:hAnsi="Calibri"/>
                <w:color w:val="334155"/>
                <w:sz w:val="22"/>
              </w:rPr>
              <w:t>Retirarla del headline; conservarla como escenario ampliado solo con metodología</w:t>
            </w:r>
          </w:p>
        </w:tc>
      </w:tr>
      <w:tr>
        <w:tc>
          <w:tcPr>
            <w:tcW w:type="dxa" w:w="3312"/>
          </w:tcPr>
          <w:p>
            <w:pPr>
              <w:spacing w:after="40" w:before="40"/>
            </w:pPr>
            <w:r>
              <w:rPr>
                <w:rFonts w:ascii="Calibri" w:hAnsi="Calibri"/>
                <w:color w:val="334155"/>
                <w:sz w:val="22"/>
              </w:rPr>
              <w:t>Brasil 380,000–420,000</w:t>
            </w:r>
          </w:p>
        </w:tc>
        <w:tc>
          <w:tcPr>
            <w:tcW w:type="dxa" w:w="3312"/>
          </w:tcPr>
          <w:p>
            <w:pPr>
              <w:spacing w:after="40" w:before="40"/>
            </w:pPr>
            <w:r>
              <w:rPr>
                <w:rFonts w:ascii="Calibri" w:hAnsi="Calibri"/>
                <w:color w:val="334155"/>
                <w:sz w:val="22"/>
              </w:rPr>
              <w:t>Contradice el dato oficial 2024 por residencia de 73,888 y por nacionalidad de 85,520</w:t>
            </w:r>
          </w:p>
        </w:tc>
        <w:tc>
          <w:tcPr>
            <w:tcW w:type="dxa" w:w="3312"/>
          </w:tcPr>
          <w:p>
            <w:pPr>
              <w:spacing w:after="40" w:before="40"/>
            </w:pPr>
            <w:r>
              <w:rPr>
                <w:rFonts w:ascii="Calibri" w:hAnsi="Calibri"/>
                <w:color w:val="334155"/>
                <w:sz w:val="22"/>
              </w:rPr>
              <w:t>No usar sin explicar otra definición, otro periodo o una fuente distinta</w:t>
            </w:r>
          </w:p>
        </w:tc>
      </w:tr>
      <w:tr>
        <w:tc>
          <w:tcPr>
            <w:tcW w:type="dxa" w:w="3312"/>
            <w:shd w:fill="F8FAFC"/>
          </w:tcPr>
          <w:p>
            <w:pPr>
              <w:spacing w:after="40" w:before="40"/>
            </w:pPr>
            <w:r>
              <w:rPr>
                <w:rFonts w:ascii="Calibri" w:hAnsi="Calibri"/>
                <w:color w:val="334155"/>
                <w:sz w:val="22"/>
              </w:rPr>
              <w:t>Colombia 280,000–310,000</w:t>
            </w:r>
          </w:p>
        </w:tc>
        <w:tc>
          <w:tcPr>
            <w:tcW w:type="dxa" w:w="3312"/>
            <w:shd w:fill="F8FAFC"/>
          </w:tcPr>
          <w:p>
            <w:pPr>
              <w:spacing w:after="40" w:before="40"/>
            </w:pPr>
            <w:r>
              <w:rPr>
                <w:rFonts w:ascii="Calibri" w:hAnsi="Calibri"/>
                <w:color w:val="334155"/>
                <w:sz w:val="22"/>
              </w:rPr>
              <w:t>Contradice el dato oficial 2024 por residencia de 219,848 y por nacionalidad de 237,667</w:t>
            </w:r>
          </w:p>
        </w:tc>
        <w:tc>
          <w:tcPr>
            <w:tcW w:type="dxa" w:w="3312"/>
            <w:shd w:fill="F8FAFC"/>
          </w:tcPr>
          <w:p>
            <w:pPr>
              <w:spacing w:after="40" w:before="40"/>
            </w:pPr>
            <w:r>
              <w:rPr>
                <w:rFonts w:ascii="Calibri" w:hAnsi="Calibri"/>
                <w:color w:val="334155"/>
                <w:sz w:val="22"/>
              </w:rPr>
              <w:t>No usar como dato oficial actual</w:t>
            </w:r>
          </w:p>
        </w:tc>
      </w:tr>
      <w:tr>
        <w:tc>
          <w:tcPr>
            <w:tcW w:type="dxa" w:w="3312"/>
          </w:tcPr>
          <w:p>
            <w:pPr>
              <w:spacing w:after="40" w:before="40"/>
            </w:pPr>
            <w:r>
              <w:rPr>
                <w:rFonts w:ascii="Calibri" w:hAnsi="Calibri"/>
                <w:color w:val="334155"/>
                <w:sz w:val="22"/>
              </w:rPr>
              <w:t>Argentina 140,000–170,000</w:t>
            </w:r>
          </w:p>
        </w:tc>
        <w:tc>
          <w:tcPr>
            <w:tcW w:type="dxa" w:w="3312"/>
          </w:tcPr>
          <w:p>
            <w:pPr>
              <w:spacing w:after="40" w:before="40"/>
            </w:pPr>
            <w:r>
              <w:rPr>
                <w:rFonts w:ascii="Calibri" w:hAnsi="Calibri"/>
                <w:color w:val="334155"/>
                <w:sz w:val="22"/>
              </w:rPr>
              <w:t>Está por debajo del dato oficial 2024 por residencia de 217,197 y nacionalidad de 226,431</w:t>
            </w:r>
          </w:p>
        </w:tc>
        <w:tc>
          <w:tcPr>
            <w:tcW w:type="dxa" w:w="3312"/>
          </w:tcPr>
          <w:p>
            <w:pPr>
              <w:spacing w:after="40" w:before="40"/>
            </w:pPr>
            <w:r>
              <w:rPr>
                <w:rFonts w:ascii="Calibri" w:hAnsi="Calibri"/>
                <w:color w:val="334155"/>
                <w:sz w:val="22"/>
              </w:rPr>
              <w:t>Podría corresponder a otro periodo, pero debe documentarse</w:t>
            </w:r>
          </w:p>
        </w:tc>
      </w:tr>
      <w:tr>
        <w:tc>
          <w:tcPr>
            <w:tcW w:type="dxa" w:w="3312"/>
            <w:shd w:fill="F8FAFC"/>
          </w:tcPr>
          <w:p>
            <w:pPr>
              <w:spacing w:after="40" w:before="40"/>
            </w:pPr>
            <w:r>
              <w:rPr>
                <w:rFonts w:ascii="Calibri" w:hAnsi="Calibri"/>
                <w:color w:val="334155"/>
                <w:sz w:val="22"/>
              </w:rPr>
              <w:t>Perú 80,000–100,000</w:t>
            </w:r>
          </w:p>
        </w:tc>
        <w:tc>
          <w:tcPr>
            <w:tcW w:type="dxa" w:w="3312"/>
            <w:shd w:fill="F8FAFC"/>
          </w:tcPr>
          <w:p>
            <w:pPr>
              <w:spacing w:after="40" w:before="40"/>
            </w:pPr>
            <w:r>
              <w:rPr>
                <w:rFonts w:ascii="Calibri" w:hAnsi="Calibri"/>
                <w:color w:val="334155"/>
                <w:sz w:val="22"/>
              </w:rPr>
              <w:t>Supera el dato oficial 2024 por residencia de 62,942 y nacionalidad de 67,933</w:t>
            </w:r>
          </w:p>
        </w:tc>
        <w:tc>
          <w:tcPr>
            <w:tcW w:type="dxa" w:w="3312"/>
            <w:shd w:fill="F8FAFC"/>
          </w:tcPr>
          <w:p>
            <w:pPr>
              <w:spacing w:after="40" w:before="40"/>
            </w:pPr>
            <w:r>
              <w:rPr>
                <w:rFonts w:ascii="Calibri" w:hAnsi="Calibri"/>
                <w:color w:val="334155"/>
                <w:sz w:val="22"/>
              </w:rPr>
              <w:t>No usar sin documentar periodo y definición</w:t>
            </w:r>
          </w:p>
        </w:tc>
      </w:tr>
      <w:tr>
        <w:tc>
          <w:tcPr>
            <w:tcW w:type="dxa" w:w="3312"/>
          </w:tcPr>
          <w:p>
            <w:pPr>
              <w:spacing w:after="40" w:before="40"/>
            </w:pPr>
            <w:r>
              <w:rPr>
                <w:rFonts w:ascii="Calibri" w:hAnsi="Calibri"/>
                <w:color w:val="334155"/>
                <w:sz w:val="22"/>
              </w:rPr>
              <w:t>$1,150M USD de TAM</w:t>
            </w:r>
          </w:p>
        </w:tc>
        <w:tc>
          <w:tcPr>
            <w:tcW w:type="dxa" w:w="3312"/>
          </w:tcPr>
          <w:p>
            <w:pPr>
              <w:spacing w:after="40" w:before="40"/>
            </w:pPr>
            <w:r>
              <w:rPr>
                <w:rFonts w:ascii="Calibri" w:hAnsi="Calibri"/>
                <w:color w:val="334155"/>
                <w:sz w:val="22"/>
              </w:rPr>
              <w:t>No se deriva de la base oficial nueva; además difiere del TAM ampliado de $1,113.2M del repositorio</w:t>
            </w:r>
          </w:p>
        </w:tc>
        <w:tc>
          <w:tcPr>
            <w:tcW w:type="dxa" w:w="3312"/>
          </w:tcPr>
          <w:p>
            <w:pPr>
              <w:spacing w:after="40" w:before="40"/>
            </w:pPr>
            <w:r>
              <w:rPr>
                <w:rFonts w:ascii="Calibri" w:hAnsi="Calibri"/>
                <w:color w:val="334155"/>
                <w:sz w:val="22"/>
              </w:rPr>
              <w:t>Presentarlo solo como escenario comercial, no como derrama observada</w:t>
            </w:r>
          </w:p>
        </w:tc>
      </w:tr>
      <w:tr>
        <w:tc>
          <w:tcPr>
            <w:tcW w:type="dxa" w:w="3312"/>
            <w:shd w:fill="F8FAFC"/>
          </w:tcPr>
          <w:p>
            <w:pPr>
              <w:spacing w:after="40" w:before="40"/>
            </w:pPr>
            <w:r>
              <w:rPr>
                <w:rFonts w:ascii="Calibri" w:hAnsi="Calibri"/>
                <w:color w:val="334155"/>
                <w:sz w:val="22"/>
              </w:rPr>
              <w:t>$362.2M USD de SAM</w:t>
            </w:r>
          </w:p>
        </w:tc>
        <w:tc>
          <w:tcPr>
            <w:tcW w:type="dxa" w:w="3312"/>
            <w:shd w:fill="F8FAFC"/>
          </w:tcPr>
          <w:p>
            <w:pPr>
              <w:spacing w:after="40" w:before="40"/>
            </w:pPr>
            <w:r>
              <w:rPr>
                <w:rFonts w:ascii="Calibri" w:hAnsi="Calibri"/>
                <w:color w:val="334155"/>
                <w:sz w:val="22"/>
              </w:rPr>
              <w:t>Cambia respecto al SAM previo de $350.6M y no muestra fórmula completa</w:t>
            </w:r>
          </w:p>
        </w:tc>
        <w:tc>
          <w:tcPr>
            <w:tcW w:type="dxa" w:w="3312"/>
            <w:shd w:fill="F8FAFC"/>
          </w:tcPr>
          <w:p>
            <w:pPr>
              <w:spacing w:after="40" w:before="40"/>
            </w:pPr>
            <w:r>
              <w:rPr>
                <w:rFonts w:ascii="Calibri" w:hAnsi="Calibri"/>
                <w:color w:val="334155"/>
                <w:sz w:val="22"/>
              </w:rPr>
              <w:t>Mantener en anexo hasta reconciliar la base</w:t>
            </w:r>
          </w:p>
        </w:tc>
      </w:tr>
      <w:tr>
        <w:tc>
          <w:tcPr>
            <w:tcW w:type="dxa" w:w="3312"/>
          </w:tcPr>
          <w:p>
            <w:pPr>
              <w:spacing w:after="40" w:before="40"/>
            </w:pPr>
            <w:r>
              <w:rPr>
                <w:rFonts w:ascii="Calibri" w:hAnsi="Calibri"/>
                <w:color w:val="334155"/>
                <w:sz w:val="22"/>
              </w:rPr>
              <w:t>$54.3M USD de SOM Año 1</w:t>
            </w:r>
          </w:p>
        </w:tc>
        <w:tc>
          <w:tcPr>
            <w:tcW w:type="dxa" w:w="3312"/>
          </w:tcPr>
          <w:p>
            <w:pPr>
              <w:spacing w:after="40" w:before="40"/>
            </w:pPr>
            <w:r>
              <w:rPr>
                <w:rFonts w:ascii="Calibri" w:hAnsi="Calibri"/>
                <w:color w:val="334155"/>
                <w:sz w:val="22"/>
              </w:rPr>
              <w:t>Es una ambición comercial, no una consecuencia de los pasajeros observados</w:t>
            </w:r>
          </w:p>
        </w:tc>
        <w:tc>
          <w:tcPr>
            <w:tcW w:type="dxa" w:w="3312"/>
          </w:tcPr>
          <w:p>
            <w:pPr>
              <w:spacing w:after="40" w:before="40"/>
            </w:pPr>
            <w:r>
              <w:rPr>
                <w:rFonts w:ascii="Calibri" w:hAnsi="Calibri"/>
                <w:color w:val="334155"/>
                <w:sz w:val="22"/>
              </w:rPr>
              <w:t>Presentarlo como objetivo sujeto a merchants, ticket y transacciones</w:t>
            </w:r>
          </w:p>
        </w:tc>
      </w:tr>
    </w:tbl>
    <w:p/>
    <w:p>
      <w:pPr>
        <w:keepNext/>
        <w:spacing w:before="240" w:after="120"/>
      </w:pPr>
      <w:r>
        <w:rPr>
          <w:rFonts w:ascii="Calibri" w:hAnsi="Calibri"/>
          <w:b/>
          <w:color w:val="2563EB"/>
          <w:sz w:val="32"/>
        </w:rPr>
        <w:t>Derrama: qué sí se puede decir</w:t>
      </w:r>
    </w:p>
    <w:p>
      <w:pPr>
        <w:spacing w:after="80"/>
      </w:pPr>
      <w:r>
        <w:rPr>
          <w:rFonts w:ascii="Calibri" w:hAnsi="Calibri"/>
          <w:color w:val="334155"/>
          <w:sz w:val="22"/>
        </w:rPr>
        <w:t xml:space="preserve">El reporte oficial revisado no publica en la tabla de mercados una cifra de gasto en sitio por país que pueda multiplicarse directamente con los pasajeros. El repositorio contiene gastos medios por país —Colombia $1,039.55, Argentina $1,125.75, Brasil $1,209 y Perú $980—, pero esos valores deben tratarse como </w:t>
      </w:r>
      <w:r>
        <w:rPr>
          <w:rFonts w:ascii="Calibri" w:hAnsi="Calibri"/>
          <w:b/>
          <w:color w:val="0F172A"/>
        </w:rPr>
        <w:t>supuestos del modelo</w:t>
      </w:r>
      <w:r>
        <w:rPr>
          <w:rFonts w:ascii="Calibri" w:hAnsi="Calibri"/>
          <w:color w:val="334155"/>
          <w:sz w:val="22"/>
        </w:rPr>
        <w:t xml:space="preserve"> hasta encontrar la publicación primaria y su metodología.</w:t>
      </w:r>
    </w:p>
    <w:p>
      <w:pPr>
        <w:spacing w:after="80"/>
      </w:pPr>
      <w:r>
        <w:rPr>
          <w:rFonts w:ascii="Calibri" w:hAnsi="Calibri"/>
          <w:color w:val="334155"/>
          <w:sz w:val="22"/>
        </w:rPr>
        <w:t>Si se aplican esos supuestos a los 573,875 pasajeros oficiales por residencia, el cálculo indicativo 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after="40" w:before="40"/>
            </w:pPr>
            <w:r>
              <w:rPr>
                <w:rFonts w:ascii="Calibri" w:hAnsi="Calibri"/>
                <w:b/>
                <w:color w:val="FFFFFF"/>
                <w:sz w:val="22"/>
              </w:rPr>
              <w:t>País</w:t>
            </w:r>
          </w:p>
        </w:tc>
        <w:tc>
          <w:tcPr>
            <w:tcW w:type="dxa" w:w="2484"/>
            <w:shd w:fill="0F172A"/>
          </w:tcPr>
          <w:p>
            <w:pPr>
              <w:spacing w:after="40" w:before="40"/>
            </w:pPr>
            <w:r>
              <w:rPr>
                <w:rFonts w:ascii="Calibri" w:hAnsi="Calibri"/>
                <w:b/>
                <w:color w:val="FFFFFF"/>
                <w:sz w:val="22"/>
              </w:rPr>
              <w:t>Pasajeros por residencia 2024</w:t>
            </w:r>
          </w:p>
        </w:tc>
        <w:tc>
          <w:tcPr>
            <w:tcW w:type="dxa" w:w="2484"/>
            <w:shd w:fill="0F172A"/>
          </w:tcPr>
          <w:p>
            <w:pPr>
              <w:spacing w:after="40" w:before="40"/>
            </w:pPr>
            <w:r>
              <w:rPr>
                <w:rFonts w:ascii="Calibri" w:hAnsi="Calibri"/>
                <w:b/>
                <w:color w:val="FFFFFF"/>
                <w:sz w:val="22"/>
              </w:rPr>
              <w:t>Gasto supuesto del repositorio</w:t>
            </w:r>
          </w:p>
        </w:tc>
        <w:tc>
          <w:tcPr>
            <w:tcW w:type="dxa" w:w="2484"/>
            <w:shd w:fill="0F172A"/>
          </w:tcPr>
          <w:p>
            <w:pPr>
              <w:spacing w:after="40" w:before="40"/>
            </w:pPr>
            <w:r>
              <w:rPr>
                <w:rFonts w:ascii="Calibri" w:hAnsi="Calibri"/>
                <w:b/>
                <w:color w:val="FFFFFF"/>
                <w:sz w:val="22"/>
              </w:rPr>
              <w:t>Derrama indicativa</w:t>
            </w:r>
          </w:p>
        </w:tc>
      </w:tr>
      <w:tr>
        <w:tc>
          <w:tcPr>
            <w:tcW w:type="dxa" w:w="2484"/>
            <w:shd w:fill="F8FAFC"/>
          </w:tcPr>
          <w:p>
            <w:pPr>
              <w:spacing w:after="40" w:before="40"/>
            </w:pPr>
            <w:r>
              <w:rPr>
                <w:rFonts w:ascii="Calibri" w:hAnsi="Calibri"/>
                <w:color w:val="334155"/>
                <w:sz w:val="22"/>
              </w:rPr>
              <w:t>Colombia</w:t>
            </w:r>
          </w:p>
        </w:tc>
        <w:tc>
          <w:tcPr>
            <w:tcW w:type="dxa" w:w="2484"/>
            <w:shd w:fill="F8FAFC"/>
          </w:tcPr>
          <w:p>
            <w:pPr>
              <w:spacing w:after="40" w:before="40"/>
            </w:pPr>
            <w:r>
              <w:rPr>
                <w:rFonts w:ascii="Calibri" w:hAnsi="Calibri"/>
                <w:color w:val="334155"/>
                <w:sz w:val="22"/>
              </w:rPr>
              <w:t>219,848</w:t>
            </w:r>
          </w:p>
        </w:tc>
        <w:tc>
          <w:tcPr>
            <w:tcW w:type="dxa" w:w="2484"/>
            <w:shd w:fill="F8FAFC"/>
          </w:tcPr>
          <w:p>
            <w:pPr>
              <w:spacing w:after="40" w:before="40"/>
            </w:pPr>
            <w:r>
              <w:rPr>
                <w:rFonts w:ascii="Calibri" w:hAnsi="Calibri"/>
                <w:color w:val="334155"/>
                <w:sz w:val="22"/>
              </w:rPr>
              <w:t>$1,039.55</w:t>
            </w:r>
          </w:p>
        </w:tc>
        <w:tc>
          <w:tcPr>
            <w:tcW w:type="dxa" w:w="2484"/>
            <w:shd w:fill="F8FAFC"/>
          </w:tcPr>
          <w:p>
            <w:pPr>
              <w:spacing w:after="40" w:before="40"/>
            </w:pPr>
            <w:r>
              <w:rPr>
                <w:rFonts w:ascii="Calibri" w:hAnsi="Calibri"/>
                <w:color w:val="334155"/>
                <w:sz w:val="22"/>
              </w:rPr>
              <w:t>$228.6M USD</w:t>
            </w:r>
          </w:p>
        </w:tc>
      </w:tr>
      <w:tr>
        <w:tc>
          <w:tcPr>
            <w:tcW w:type="dxa" w:w="2484"/>
          </w:tcPr>
          <w:p>
            <w:pPr>
              <w:spacing w:after="40" w:before="40"/>
            </w:pPr>
            <w:r>
              <w:rPr>
                <w:rFonts w:ascii="Calibri" w:hAnsi="Calibri"/>
                <w:color w:val="334155"/>
                <w:sz w:val="22"/>
              </w:rPr>
              <w:t>Argentina</w:t>
            </w:r>
          </w:p>
        </w:tc>
        <w:tc>
          <w:tcPr>
            <w:tcW w:type="dxa" w:w="2484"/>
          </w:tcPr>
          <w:p>
            <w:pPr>
              <w:spacing w:after="40" w:before="40"/>
            </w:pPr>
            <w:r>
              <w:rPr>
                <w:rFonts w:ascii="Calibri" w:hAnsi="Calibri"/>
                <w:color w:val="334155"/>
                <w:sz w:val="22"/>
              </w:rPr>
              <w:t>217,197</w:t>
            </w:r>
          </w:p>
        </w:tc>
        <w:tc>
          <w:tcPr>
            <w:tcW w:type="dxa" w:w="2484"/>
          </w:tcPr>
          <w:p>
            <w:pPr>
              <w:spacing w:after="40" w:before="40"/>
            </w:pPr>
            <w:r>
              <w:rPr>
                <w:rFonts w:ascii="Calibri" w:hAnsi="Calibri"/>
                <w:color w:val="334155"/>
                <w:sz w:val="22"/>
              </w:rPr>
              <w:t>$1,125.75</w:t>
            </w:r>
          </w:p>
        </w:tc>
        <w:tc>
          <w:tcPr>
            <w:tcW w:type="dxa" w:w="2484"/>
          </w:tcPr>
          <w:p>
            <w:pPr>
              <w:spacing w:after="40" w:before="40"/>
            </w:pPr>
            <w:r>
              <w:rPr>
                <w:rFonts w:ascii="Calibri" w:hAnsi="Calibri"/>
                <w:color w:val="334155"/>
                <w:sz w:val="22"/>
              </w:rPr>
              <w:t>$244.5M USD</w:t>
            </w:r>
          </w:p>
        </w:tc>
      </w:tr>
      <w:tr>
        <w:tc>
          <w:tcPr>
            <w:tcW w:type="dxa" w:w="2484"/>
            <w:shd w:fill="F8FAFC"/>
          </w:tcPr>
          <w:p>
            <w:pPr>
              <w:spacing w:after="40" w:before="40"/>
            </w:pPr>
            <w:r>
              <w:rPr>
                <w:rFonts w:ascii="Calibri" w:hAnsi="Calibri"/>
                <w:color w:val="334155"/>
                <w:sz w:val="22"/>
              </w:rPr>
              <w:t>Brasil</w:t>
            </w:r>
          </w:p>
        </w:tc>
        <w:tc>
          <w:tcPr>
            <w:tcW w:type="dxa" w:w="2484"/>
            <w:shd w:fill="F8FAFC"/>
          </w:tcPr>
          <w:p>
            <w:pPr>
              <w:spacing w:after="40" w:before="40"/>
            </w:pPr>
            <w:r>
              <w:rPr>
                <w:rFonts w:ascii="Calibri" w:hAnsi="Calibri"/>
                <w:color w:val="334155"/>
                <w:sz w:val="22"/>
              </w:rPr>
              <w:t>73,888</w:t>
            </w:r>
          </w:p>
        </w:tc>
        <w:tc>
          <w:tcPr>
            <w:tcW w:type="dxa" w:w="2484"/>
            <w:shd w:fill="F8FAFC"/>
          </w:tcPr>
          <w:p>
            <w:pPr>
              <w:spacing w:after="40" w:before="40"/>
            </w:pPr>
            <w:r>
              <w:rPr>
                <w:rFonts w:ascii="Calibri" w:hAnsi="Calibri"/>
                <w:color w:val="334155"/>
                <w:sz w:val="22"/>
              </w:rPr>
              <w:t>$1,209.00</w:t>
            </w:r>
          </w:p>
        </w:tc>
        <w:tc>
          <w:tcPr>
            <w:tcW w:type="dxa" w:w="2484"/>
            <w:shd w:fill="F8FAFC"/>
          </w:tcPr>
          <w:p>
            <w:pPr>
              <w:spacing w:after="40" w:before="40"/>
            </w:pPr>
            <w:r>
              <w:rPr>
                <w:rFonts w:ascii="Calibri" w:hAnsi="Calibri"/>
                <w:color w:val="334155"/>
                <w:sz w:val="22"/>
              </w:rPr>
              <w:t>$89.4M USD</w:t>
            </w:r>
          </w:p>
        </w:tc>
      </w:tr>
      <w:tr>
        <w:tc>
          <w:tcPr>
            <w:tcW w:type="dxa" w:w="2484"/>
          </w:tcPr>
          <w:p>
            <w:pPr>
              <w:spacing w:after="40" w:before="40"/>
            </w:pPr>
            <w:r>
              <w:rPr>
                <w:rFonts w:ascii="Calibri" w:hAnsi="Calibri"/>
                <w:color w:val="334155"/>
                <w:sz w:val="22"/>
              </w:rPr>
              <w:t>Perú</w:t>
            </w:r>
          </w:p>
        </w:tc>
        <w:tc>
          <w:tcPr>
            <w:tcW w:type="dxa" w:w="2484"/>
          </w:tcPr>
          <w:p>
            <w:pPr>
              <w:spacing w:after="40" w:before="40"/>
            </w:pPr>
            <w:r>
              <w:rPr>
                <w:rFonts w:ascii="Calibri" w:hAnsi="Calibri"/>
                <w:color w:val="334155"/>
                <w:sz w:val="22"/>
              </w:rPr>
              <w:t>62,942</w:t>
            </w:r>
          </w:p>
        </w:tc>
        <w:tc>
          <w:tcPr>
            <w:tcW w:type="dxa" w:w="2484"/>
          </w:tcPr>
          <w:p>
            <w:pPr>
              <w:spacing w:after="40" w:before="40"/>
            </w:pPr>
            <w:r>
              <w:rPr>
                <w:rFonts w:ascii="Calibri" w:hAnsi="Calibri"/>
                <w:color w:val="334155"/>
                <w:sz w:val="22"/>
              </w:rPr>
              <w:t>$980.00</w:t>
            </w:r>
          </w:p>
        </w:tc>
        <w:tc>
          <w:tcPr>
            <w:tcW w:type="dxa" w:w="2484"/>
          </w:tcPr>
          <w:p>
            <w:pPr>
              <w:spacing w:after="40" w:before="40"/>
            </w:pPr>
            <w:r>
              <w:rPr>
                <w:rFonts w:ascii="Calibri" w:hAnsi="Calibri"/>
                <w:color w:val="334155"/>
                <w:sz w:val="22"/>
              </w:rPr>
              <w:t>$61.7M USD</w:t>
            </w:r>
          </w:p>
        </w:tc>
      </w:tr>
      <w:tr>
        <w:tc>
          <w:tcPr>
            <w:tcW w:type="dxa" w:w="2484"/>
            <w:shd w:fill="F8FAFC"/>
          </w:tcPr>
          <w:p>
            <w:pPr>
              <w:spacing w:after="40" w:before="40"/>
            </w:pPr>
            <w:r>
              <w:rPr>
                <w:rFonts w:ascii="Calibri" w:hAnsi="Calibri"/>
                <w:b/>
                <w:color w:val="0F172A"/>
              </w:rPr>
              <w:t>Total</w:t>
            </w:r>
          </w:p>
        </w:tc>
        <w:tc>
          <w:tcPr>
            <w:tcW w:type="dxa" w:w="2484"/>
            <w:shd w:fill="F8FAFC"/>
          </w:tcPr>
          <w:p>
            <w:pPr>
              <w:spacing w:after="40" w:before="40"/>
            </w:pPr>
            <w:r>
              <w:rPr>
                <w:rFonts w:ascii="Calibri" w:hAnsi="Calibri"/>
                <w:b/>
                <w:color w:val="0F172A"/>
              </w:rPr>
              <w:t>573,875</w:t>
            </w:r>
          </w:p>
        </w:tc>
        <w:tc>
          <w:tcPr>
            <w:tcW w:type="dxa" w:w="2484"/>
            <w:shd w:fill="F8FAFC"/>
          </w:tcPr>
          <w:p>
            <w:pPr>
              <w:spacing w:after="40" w:before="40"/>
            </w:pPr>
            <w:r>
              <w:rPr>
                <w:rFonts w:ascii="Calibri" w:hAnsi="Calibri"/>
                <w:color w:val="334155"/>
                <w:sz w:val="22"/>
              </w:rPr>
              <w:t>—</w:t>
            </w:r>
          </w:p>
        </w:tc>
        <w:tc>
          <w:tcPr>
            <w:tcW w:type="dxa" w:w="2484"/>
            <w:shd w:fill="F8FAFC"/>
          </w:tcPr>
          <w:p>
            <w:pPr>
              <w:spacing w:after="40" w:before="40"/>
            </w:pPr>
            <w:r>
              <w:rPr>
                <w:rFonts w:ascii="Calibri" w:hAnsi="Calibri"/>
                <w:b/>
                <w:color w:val="0F172A"/>
              </w:rPr>
              <w:t>≈$624.1M USD</w:t>
            </w:r>
          </w:p>
        </w:tc>
      </w:tr>
    </w:tbl>
    <w:p/>
    <w:p>
      <w:pPr>
        <w:spacing w:after="80"/>
      </w:pPr>
      <w:r>
        <w:rPr>
          <w:rFonts w:ascii="Calibri" w:hAnsi="Calibri"/>
          <w:color w:val="334155"/>
          <w:sz w:val="22"/>
        </w:rPr>
        <w:t xml:space="preserve">La cifra </w:t>
      </w:r>
      <w:r>
        <w:rPr>
          <w:rFonts w:ascii="Calibri" w:hAnsi="Calibri"/>
          <w:b/>
          <w:color w:val="0F172A"/>
        </w:rPr>
        <w:t>≈$624.1M USD</w:t>
      </w:r>
      <w:r>
        <w:rPr>
          <w:rFonts w:ascii="Calibri" w:hAnsi="Calibri"/>
          <w:color w:val="334155"/>
          <w:sz w:val="22"/>
        </w:rPr>
        <w:t xml:space="preserve"> es matemáticamente consistente con esos inputs, pero no es una cifra oficial de SECTUR o SEDETUR. La forma correcta de presentarla es: </w:t>
      </w:r>
      <w:r>
        <w:rPr>
          <w:rFonts w:ascii="Calibri" w:hAnsi="Calibri"/>
          <w:b/>
          <w:color w:val="0F172A"/>
        </w:rPr>
        <w:t>“escenario indicativo de gasto en sitio, calculado sobre flujo oficial y supuestos de gasto del modelo”</w:t>
      </w:r>
      <w:r>
        <w:rPr>
          <w:rFonts w:ascii="Calibri" w:hAnsi="Calibri"/>
          <w:color w:val="334155"/>
          <w:sz w:val="22"/>
        </w:rPr>
        <w:t>.</w:t>
      </w:r>
    </w:p>
    <w:p>
      <w:pPr>
        <w:keepNext/>
        <w:spacing w:before="240" w:after="120"/>
      </w:pPr>
      <w:r>
        <w:rPr>
          <w:rFonts w:ascii="Calibri" w:hAnsi="Calibri"/>
          <w:b/>
          <w:color w:val="2563EB"/>
          <w:sz w:val="32"/>
        </w:rPr>
        <w:t>Qué aportan las fuentes oficiales de los países de origen</w:t>
      </w:r>
    </w:p>
    <w:p>
      <w:pPr>
        <w:spacing w:after="80"/>
      </w:pPr>
      <w:r>
        <w:rPr>
          <w:rFonts w:ascii="Calibri" w:hAnsi="Calibri"/>
          <w:color w:val="334155"/>
          <w:sz w:val="22"/>
        </w:rPr>
        <w:t>Las fuentes de los países de origen son útiles para demostrar la existencia y madurez de los rieles domésticos, pero no sustituyen la medición oficial de llegadas a Quintana Roo.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after="40" w:before="40"/>
            </w:pPr>
            <w:r>
              <w:rPr>
                <w:rFonts w:ascii="Calibri" w:hAnsi="Calibri"/>
                <w:b/>
                <w:color w:val="FFFFFF"/>
                <w:sz w:val="22"/>
              </w:rPr>
              <w:t>País</w:t>
            </w:r>
          </w:p>
        </w:tc>
        <w:tc>
          <w:tcPr>
            <w:tcW w:type="dxa" w:w="2484"/>
            <w:shd w:fill="0F172A"/>
          </w:tcPr>
          <w:p>
            <w:pPr>
              <w:spacing w:after="40" w:before="40"/>
            </w:pPr>
            <w:r>
              <w:rPr>
                <w:rFonts w:ascii="Calibri" w:hAnsi="Calibri"/>
                <w:b/>
                <w:color w:val="FFFFFF"/>
                <w:sz w:val="22"/>
              </w:rPr>
              <w:t>Fuente oficial revisada</w:t>
            </w:r>
          </w:p>
        </w:tc>
        <w:tc>
          <w:tcPr>
            <w:tcW w:type="dxa" w:w="2484"/>
            <w:shd w:fill="0F172A"/>
          </w:tcPr>
          <w:p>
            <w:pPr>
              <w:spacing w:after="40" w:before="40"/>
            </w:pPr>
            <w:r>
              <w:rPr>
                <w:rFonts w:ascii="Calibri" w:hAnsi="Calibri"/>
                <w:b/>
                <w:color w:val="FFFFFF"/>
                <w:sz w:val="22"/>
              </w:rPr>
              <w:t>Dato relevante</w:t>
            </w:r>
          </w:p>
        </w:tc>
        <w:tc>
          <w:tcPr>
            <w:tcW w:type="dxa" w:w="2484"/>
            <w:shd w:fill="0F172A"/>
          </w:tcPr>
          <w:p>
            <w:pPr>
              <w:spacing w:after="40" w:before="40"/>
            </w:pPr>
            <w:r>
              <w:rPr>
                <w:rFonts w:ascii="Calibri" w:hAnsi="Calibri"/>
                <w:b/>
                <w:color w:val="FFFFFF"/>
                <w:sz w:val="22"/>
              </w:rPr>
              <w:t>Uso correcto</w:t>
            </w:r>
          </w:p>
        </w:tc>
      </w:tr>
      <w:tr>
        <w:tc>
          <w:tcPr>
            <w:tcW w:type="dxa" w:w="2484"/>
            <w:shd w:fill="F8FAFC"/>
          </w:tcPr>
          <w:p>
            <w:pPr>
              <w:spacing w:after="40" w:before="40"/>
            </w:pPr>
            <w:r>
              <w:rPr>
                <w:rFonts w:ascii="Calibri" w:hAnsi="Calibri"/>
                <w:color w:val="334155"/>
                <w:sz w:val="22"/>
              </w:rPr>
              <w:t>Brasil</w:t>
            </w:r>
          </w:p>
        </w:tc>
        <w:tc>
          <w:tcPr>
            <w:tcW w:type="dxa" w:w="2484"/>
            <w:shd w:fill="F8FAFC"/>
          </w:tcPr>
          <w:p>
            <w:pPr>
              <w:spacing w:after="40" w:before="40"/>
            </w:pPr>
            <w:r>
              <w:rPr>
                <w:rFonts w:ascii="Calibri" w:hAnsi="Calibri"/>
                <w:color w:val="334155"/>
                <w:sz w:val="22"/>
              </w:rPr>
              <w:t>Banco Central do Brasil</w:t>
            </w:r>
          </w:p>
        </w:tc>
        <w:tc>
          <w:tcPr>
            <w:tcW w:type="dxa" w:w="2484"/>
            <w:shd w:fill="F8FAFC"/>
          </w:tcPr>
          <w:p>
            <w:pPr>
              <w:spacing w:after="40" w:before="40"/>
            </w:pPr>
            <w:r>
              <w:rPr>
                <w:rFonts w:ascii="Calibri" w:hAnsi="Calibri"/>
                <w:color w:val="334155"/>
                <w:sz w:val="22"/>
              </w:rPr>
              <w:t>Pix cuenta con estadísticas oficiales de usuarios, transacciones y valores; un comunicado institucional reporta casi 170M de usuarios y BRL 11T en transacciones durante 2024</w:t>
            </w:r>
          </w:p>
        </w:tc>
        <w:tc>
          <w:tcPr>
            <w:tcW w:type="dxa" w:w="2484"/>
            <w:shd w:fill="F8FAFC"/>
          </w:tcPr>
          <w:p>
            <w:pPr>
              <w:spacing w:after="40" w:before="40"/>
            </w:pPr>
            <w:r>
              <w:rPr>
                <w:rFonts w:ascii="Calibri" w:hAnsi="Calibri"/>
                <w:color w:val="334155"/>
                <w:sz w:val="22"/>
              </w:rPr>
              <w:t>Justifica priorizar Pix como corredor inicial; no prueba por sí solo adopción en Quintana Roo</w:t>
            </w:r>
          </w:p>
        </w:tc>
      </w:tr>
      <w:tr>
        <w:tc>
          <w:tcPr>
            <w:tcW w:type="dxa" w:w="2484"/>
          </w:tcPr>
          <w:p>
            <w:pPr>
              <w:spacing w:after="40" w:before="40"/>
            </w:pPr>
            <w:r>
              <w:rPr>
                <w:rFonts w:ascii="Calibri" w:hAnsi="Calibri"/>
                <w:color w:val="334155"/>
                <w:sz w:val="22"/>
              </w:rPr>
              <w:t>Colombia</w:t>
            </w:r>
          </w:p>
        </w:tc>
        <w:tc>
          <w:tcPr>
            <w:tcW w:type="dxa" w:w="2484"/>
          </w:tcPr>
          <w:p>
            <w:pPr>
              <w:spacing w:after="40" w:before="40"/>
            </w:pPr>
            <w:r>
              <w:rPr>
                <w:rFonts w:ascii="Calibri" w:hAnsi="Calibri"/>
                <w:color w:val="334155"/>
                <w:sz w:val="22"/>
              </w:rPr>
              <w:t>Banco de la República</w:t>
            </w:r>
          </w:p>
        </w:tc>
        <w:tc>
          <w:tcPr>
            <w:tcW w:type="dxa" w:w="2484"/>
          </w:tcPr>
          <w:p>
            <w:pPr>
              <w:spacing w:after="40" w:before="40"/>
            </w:pPr>
            <w:r>
              <w:rPr>
                <w:rFonts w:ascii="Calibri" w:hAnsi="Calibri"/>
                <w:color w:val="334155"/>
                <w:sz w:val="22"/>
              </w:rPr>
              <w:t>Bre-B es el sistema de pagos inmediatos interoperable de Colombia</w:t>
            </w:r>
          </w:p>
        </w:tc>
        <w:tc>
          <w:tcPr>
            <w:tcW w:type="dxa" w:w="2484"/>
          </w:tcPr>
          <w:p>
            <w:pPr>
              <w:spacing w:after="40" w:before="40"/>
            </w:pPr>
            <w:r>
              <w:rPr>
                <w:rFonts w:ascii="Calibri" w:hAnsi="Calibri"/>
                <w:color w:val="334155"/>
                <w:sz w:val="22"/>
              </w:rPr>
              <w:t>Justifica el rail doméstico; la disponibilidad cross-border depende de 8B/EthosPay</w:t>
            </w:r>
          </w:p>
        </w:tc>
      </w:tr>
      <w:tr>
        <w:tc>
          <w:tcPr>
            <w:tcW w:type="dxa" w:w="2484"/>
            <w:shd w:fill="F8FAFC"/>
          </w:tcPr>
          <w:p>
            <w:pPr>
              <w:spacing w:after="40" w:before="40"/>
            </w:pPr>
            <w:r>
              <w:rPr>
                <w:rFonts w:ascii="Calibri" w:hAnsi="Calibri"/>
                <w:color w:val="334155"/>
                <w:sz w:val="22"/>
              </w:rPr>
              <w:t>Argentina</w:t>
            </w:r>
          </w:p>
        </w:tc>
        <w:tc>
          <w:tcPr>
            <w:tcW w:type="dxa" w:w="2484"/>
            <w:shd w:fill="F8FAFC"/>
          </w:tcPr>
          <w:p>
            <w:pPr>
              <w:spacing w:after="40" w:before="40"/>
            </w:pPr>
            <w:r>
              <w:rPr>
                <w:rFonts w:ascii="Calibri" w:hAnsi="Calibri"/>
                <w:color w:val="334155"/>
                <w:sz w:val="22"/>
              </w:rPr>
              <w:t>BCRA</w:t>
            </w:r>
          </w:p>
        </w:tc>
        <w:tc>
          <w:tcPr>
            <w:tcW w:type="dxa" w:w="2484"/>
            <w:shd w:fill="F8FAFC"/>
          </w:tcPr>
          <w:p>
            <w:pPr>
              <w:spacing w:after="40" w:before="40"/>
            </w:pPr>
            <w:r>
              <w:rPr>
                <w:rFonts w:ascii="Calibri" w:hAnsi="Calibri"/>
                <w:color w:val="334155"/>
                <w:sz w:val="22"/>
              </w:rPr>
              <w:t>Transferencias 3.0 permite pagos con transferencia mediante QR, interoperables, con acreditación inmediata y disponibilidad 24/7</w:t>
            </w:r>
          </w:p>
        </w:tc>
        <w:tc>
          <w:tcPr>
            <w:tcW w:type="dxa" w:w="2484"/>
            <w:shd w:fill="F8FAFC"/>
          </w:tcPr>
          <w:p>
            <w:pPr>
              <w:spacing w:after="40" w:before="40"/>
            </w:pPr>
            <w:r>
              <w:rPr>
                <w:rFonts w:ascii="Calibri" w:hAnsi="Calibri"/>
                <w:color w:val="334155"/>
                <w:sz w:val="22"/>
              </w:rPr>
              <w:t>Justifica el comportamiento doméstico; no prueba el corredor Argentina–México</w:t>
            </w:r>
          </w:p>
        </w:tc>
      </w:tr>
      <w:tr>
        <w:tc>
          <w:tcPr>
            <w:tcW w:type="dxa" w:w="2484"/>
          </w:tcPr>
          <w:p>
            <w:pPr>
              <w:spacing w:after="40" w:before="40"/>
            </w:pPr>
            <w:r>
              <w:rPr>
                <w:rFonts w:ascii="Calibri" w:hAnsi="Calibri"/>
                <w:color w:val="334155"/>
                <w:sz w:val="22"/>
              </w:rPr>
              <w:t>Perú</w:t>
            </w:r>
          </w:p>
        </w:tc>
        <w:tc>
          <w:tcPr>
            <w:tcW w:type="dxa" w:w="2484"/>
          </w:tcPr>
          <w:p>
            <w:pPr>
              <w:spacing w:after="40" w:before="40"/>
            </w:pPr>
            <w:r>
              <w:rPr>
                <w:rFonts w:ascii="Calibri" w:hAnsi="Calibri"/>
                <w:color w:val="334155"/>
                <w:sz w:val="22"/>
              </w:rPr>
              <w:t>BCRP</w:t>
            </w:r>
          </w:p>
        </w:tc>
        <w:tc>
          <w:tcPr>
            <w:tcW w:type="dxa" w:w="2484"/>
          </w:tcPr>
          <w:p>
            <w:pPr>
              <w:spacing w:after="40" w:before="40"/>
            </w:pPr>
            <w:r>
              <w:rPr>
                <w:rFonts w:ascii="Calibri" w:hAnsi="Calibri"/>
                <w:color w:val="334155"/>
                <w:sz w:val="22"/>
              </w:rPr>
              <w:t>La interoperabilidad Yape/Plin y QR generó más de 263M de transacciones mensuales en diciembre de 2025; los pagos QR mostrados por comercios llegaron a 47M mensuales</w:t>
            </w:r>
          </w:p>
        </w:tc>
        <w:tc>
          <w:tcPr>
            <w:tcW w:type="dxa" w:w="2484"/>
          </w:tcPr>
          <w:p>
            <w:pPr>
              <w:spacing w:after="40" w:before="40"/>
            </w:pPr>
            <w:r>
              <w:rPr>
                <w:rFonts w:ascii="Calibri" w:hAnsi="Calibri"/>
                <w:color w:val="334155"/>
                <w:sz w:val="22"/>
              </w:rPr>
              <w:t>Justifica la hipótesis de hábito QR; no prueba llegadas ni gasto en México</w:t>
            </w:r>
          </w:p>
        </w:tc>
      </w:tr>
    </w:tbl>
    <w:p/>
    <w:p>
      <w:pPr>
        <w:spacing w:after="80"/>
      </w:pPr>
      <w:r>
        <w:rPr>
          <w:rFonts w:ascii="Calibri" w:hAnsi="Calibri"/>
          <w:color w:val="334155"/>
          <w:sz w:val="22"/>
        </w:rPr>
        <w:t>El propio reporte del INDEC argentino muestra por qué debe cuidarse la metodología: distingue visitantes, turistas y excursionistas, y distingue residencia habitual de destino del viaje.[5] Esa disciplina debe replicarse en el one-pager.</w:t>
      </w:r>
    </w:p>
    <w:p>
      <w:pPr>
        <w:keepNext/>
        <w:spacing w:before="240" w:after="120"/>
      </w:pPr>
      <w:r>
        <w:rPr>
          <w:rFonts w:ascii="Calibri" w:hAnsi="Calibri"/>
          <w:b/>
          <w:color w:val="2563EB"/>
          <w:sz w:val="32"/>
        </w:rPr>
        <w:t>Mensaje recomendado para CEO</w:t>
      </w:r>
    </w:p>
    <w:p>
      <w:pPr>
        <w:spacing w:before="80" w:after="80"/>
        <w:ind w:left="576"/>
      </w:pPr>
      <w:r>
        <w:rPr>
          <w:rFonts w:ascii="Calibri" w:hAnsi="Calibri"/>
          <w:i/>
          <w:color w:val="475569"/>
        </w:rPr>
        <w:t>**“En 2024, Quintana Roo registró oficialmente 573,875 pasajeros por residencia provenientes de Colombia, Argentina, Brasil y Perú. Sobre ese flujo observado, proponemos probar un corredor Pix en Cancún: el turista paga desde su app doméstica, 8B enruta la transacción y EthosPay/partner liquida MXN al comercio. El gasto potencial de aproximadamente $624M USD es un escenario calculado, no una derrama oficial. El piloto convertirá esa hipótesis en evidencia propia.”**</w:t>
      </w:r>
    </w:p>
    <w:p>
      <w:pPr>
        <w:spacing w:after="80"/>
      </w:pPr>
      <w:r>
        <w:rPr>
          <w:rFonts w:ascii="Calibri" w:hAnsi="Calibri"/>
          <w:color w:val="334155"/>
          <w:sz w:val="22"/>
        </w:rPr>
        <w:t>Este mensaje es más pequeño que el sizing original, pero es más creíble, auditable y defendible. Para un CEO, la credibilidad del punto de partida vale más que una cifra grande sin definición uniforme.</w:t>
      </w:r>
    </w:p>
    <w:p>
      <w:pPr>
        <w:keepNext/>
        <w:spacing w:before="240" w:after="120"/>
      </w:pPr>
      <w:r>
        <w:rPr>
          <w:rFonts w:ascii="Calibri" w:hAnsi="Calibri"/>
          <w:b/>
          <w:color w:val="2563EB"/>
          <w:sz w:val="32"/>
        </w:rPr>
        <w:t>Recomendación final para el one-pager</w:t>
      </w:r>
    </w:p>
    <w:p>
      <w:pPr>
        <w:spacing w:after="80"/>
      </w:pPr>
      <w:r>
        <w:rPr>
          <w:rFonts w:ascii="Calibri" w:hAnsi="Calibri"/>
          <w:color w:val="334155"/>
          <w:sz w:val="22"/>
        </w:rPr>
        <w:t xml:space="preserve">Debe mostrarse como headline </w:t>
      </w:r>
      <w:r>
        <w:rPr>
          <w:rFonts w:ascii="Calibri" w:hAnsi="Calibri"/>
          <w:b/>
          <w:color w:val="0F172A"/>
        </w:rPr>
        <w:t>573.9 mil pasajeros por residencia observados en 2024</w:t>
      </w:r>
      <w:r>
        <w:rPr>
          <w:rFonts w:ascii="Calibri" w:hAnsi="Calibri"/>
          <w:color w:val="334155"/>
          <w:sz w:val="22"/>
        </w:rPr>
        <w:t xml:space="preserve"> y como segunda métrica </w:t>
      </w:r>
      <w:r>
        <w:rPr>
          <w:rFonts w:ascii="Calibri" w:hAnsi="Calibri"/>
          <w:b/>
          <w:color w:val="0F172A"/>
        </w:rPr>
        <w:t>≈$624M USD de gasto indicativo modelado</w:t>
      </w:r>
      <w:r>
        <w:rPr>
          <w:rFonts w:ascii="Calibri" w:hAnsi="Calibri"/>
          <w:color w:val="334155"/>
          <w:sz w:val="22"/>
        </w:rPr>
        <w:t>. La nota al pie debe indicar que el cálculo combina una fuente oficial de flujo con supuestos de gasto del repositorio. El mercado ampliado de $1.15B, el SAM de $362.2M y el SOM de $54.3M deben moverse a una lámina o sección de escenarios, con fórmula visible.</w:t>
      </w:r>
    </w:p>
    <w:p>
      <w:pPr>
        <w:spacing w:after="80"/>
      </w:pPr>
      <w:r>
        <w:rPr>
          <w:rFonts w:ascii="Calibri" w:hAnsi="Calibri"/>
          <w:color w:val="334155"/>
          <w:sz w:val="22"/>
        </w:rPr>
        <w:t xml:space="preserve">El primer corredor debe seguir siendo </w:t>
      </w:r>
      <w:r>
        <w:rPr>
          <w:rFonts w:ascii="Calibri" w:hAnsi="Calibri"/>
          <w:b/>
          <w:color w:val="0F172A"/>
        </w:rPr>
        <w:t>Pix → Cancún/Riviera Maya</w:t>
      </w:r>
      <w:r>
        <w:rPr>
          <w:rFonts w:ascii="Calibri" w:hAnsi="Calibri"/>
          <w:color w:val="334155"/>
          <w:sz w:val="22"/>
        </w:rPr>
        <w:t xml:space="preserve">, porque la evidencia oficial del BCB confirma la escala del rail en Brasil y el material de 8B lo presenta como </w:t>
      </w:r>
      <w:r>
        <w:rPr>
          <w:rFonts w:ascii="Consolas" w:hAnsi="Consolas"/>
          <w:color w:val="E11D48"/>
          <w:sz w:val="19"/>
        </w:rPr>
        <w:t>Live</w:t>
      </w:r>
      <w:r>
        <w:rPr>
          <w:rFonts w:ascii="Calibri" w:hAnsi="Calibri"/>
          <w:color w:val="334155"/>
          <w:sz w:val="22"/>
        </w:rPr>
        <w:t xml:space="preserve">; la habilitación para la cuenta concreta de EthosPay todavía debe confirmarse contractualmente.[2] El mecanismo mexicano debe mantenerse como </w:t>
      </w:r>
      <w:r>
        <w:rPr>
          <w:rFonts w:ascii="Calibri" w:hAnsi="Calibri"/>
          <w:b/>
          <w:color w:val="0F172A"/>
        </w:rPr>
        <w:t>CoDi/SPEI/QR de 8B sujeto a confirmación</w:t>
      </w:r>
      <w:r>
        <w:rPr>
          <w:rFonts w:ascii="Calibri" w:hAnsi="Calibri"/>
          <w:color w:val="334155"/>
          <w:sz w:val="22"/>
        </w:rPr>
        <w:t>, no como “QR DiMo”.[3] [4]</w:t>
      </w:r>
    </w:p>
    <w:p>
      <w:pPr>
        <w:keepNext/>
        <w:spacing w:before="240" w:after="120"/>
      </w:pPr>
      <w:r>
        <w:rPr>
          <w:rFonts w:ascii="Calibri" w:hAnsi="Calibri"/>
          <w:b/>
          <w:color w:val="2563EB"/>
          <w:sz w:val="32"/>
        </w:rPr>
        <w:t>Referencias</w:t>
      </w:r>
    </w:p>
    <w:p>
      <w:pPr>
        <w:spacing w:after="80"/>
      </w:pPr>
      <w:r>
        <w:rPr>
          <w:rFonts w:ascii="Calibri" w:hAnsi="Calibri"/>
          <w:color w:val="334155"/>
          <w:sz w:val="22"/>
        </w:rPr>
        <w:t>[1]: https://returq.siturq.gob.mx/storage/pdf/situr/strategic-markets/be07fec7-2224-4d24-a845-58b713aceb89.pdf "SITUR Quintana Roo — Mercados Estratégicos, diciembre 2024"</w:t>
      </w:r>
    </w:p>
    <w:p>
      <w:pPr>
        <w:spacing w:after="80"/>
      </w:pPr>
      <w:r>
        <w:rPr>
          <w:rFonts w:ascii="Calibri" w:hAnsi="Calibri"/>
          <w:color w:val="334155"/>
          <w:sz w:val="22"/>
        </w:rPr>
        <w:t>[2]: https://www.bcb.gov.br/en/pressdetail/2640/nota "Banco Central do Brasil — Pix at 5"</w:t>
      </w:r>
    </w:p>
    <w:p>
      <w:pPr>
        <w:spacing w:after="80"/>
      </w:pPr>
      <w:r>
        <w:rPr>
          <w:rFonts w:ascii="Calibri" w:hAnsi="Calibri"/>
          <w:color w:val="334155"/>
          <w:sz w:val="22"/>
        </w:rPr>
        <w:t>[3]: https://www.banxico.org.mx/sistemas-de-pago/codi-cobro-digital-banco-me.html "Banco de México — CoDi"</w:t>
      </w:r>
    </w:p>
    <w:p>
      <w:pPr>
        <w:spacing w:after="80"/>
      </w:pPr>
      <w:r>
        <w:rPr>
          <w:rFonts w:ascii="Calibri" w:hAnsi="Calibri"/>
          <w:color w:val="334155"/>
          <w:sz w:val="22"/>
        </w:rPr>
        <w:t>[4]: https://www.dimo.org.mx/ "DiMo — Banco de México"</w:t>
      </w:r>
    </w:p>
    <w:p>
      <w:pPr>
        <w:spacing w:after="80"/>
      </w:pPr>
      <w:r>
        <w:rPr>
          <w:rFonts w:ascii="Calibri" w:hAnsi="Calibri"/>
          <w:color w:val="334155"/>
          <w:sz w:val="22"/>
        </w:rPr>
        <w:t>[5]: https://www.indec.gob.ar/uploads/informesdeprensa/eti_10_24FB49392E89.pdf "INDEC — Estadísticas de turismo internacional, septiembre y tercer trimestre de 2024"</w:t>
      </w:r>
    </w:p>
    <w:p>
      <w:pPr>
        <w:spacing w:after="80"/>
      </w:pPr>
      <w:r>
        <w:rPr>
          <w:rFonts w:ascii="Calibri" w:hAnsi="Calibri"/>
          <w:color w:val="334155"/>
          <w:sz w:val="22"/>
        </w:rPr>
        <w:t>[6]: https://www.banrep.gov.co/es/bre-b "Banco de la República — Bre-B"</w:t>
      </w:r>
    </w:p>
    <w:p>
      <w:pPr>
        <w:spacing w:after="80"/>
      </w:pPr>
      <w:r>
        <w:rPr>
          <w:rFonts w:ascii="Calibri" w:hAnsi="Calibri"/>
          <w:color w:val="334155"/>
          <w:sz w:val="22"/>
        </w:rPr>
        <w:t>[7]: https://www.bcra.gob.ar/transferencias-3-0/ "BCRA — Transferencias inmediatas 3.0"</w:t>
      </w:r>
    </w:p>
    <w:p>
      <w:pPr>
        <w:spacing w:after="80"/>
      </w:pPr>
      <w:r>
        <w:rPr>
          <w:rFonts w:ascii="Calibri" w:hAnsi="Calibri"/>
          <w:color w:val="334155"/>
          <w:sz w:val="22"/>
        </w:rPr>
        <w:t>[8]: https://www.bcrp.gob.pe/publicaciones/reporte-del-sistema-nacional-de-pagos/rspf-marzo-2026.html "BCRP — Reporte del Sistema Nacional de Pagos, marzo 2026"</w:t>
      </w:r>
    </w:p>
    <w:p>
      <w:pPr>
        <w:spacing w:after="80"/>
      </w:pPr>
      <w:r>
        <w:rPr>
          <w:rFonts w:ascii="Calibri" w:hAnsi="Calibri"/>
          <w:color w:val="334155"/>
          <w:sz w:val="22"/>
        </w:rPr>
        <w:t>[9]: https://www.8b.world/cross-border-qr-payments "8B — Cross-Border QR Payments"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