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📄 RESUMEN EJECUTIVO: PLAN GTM Y FOCO A 90 DÍAS PAYMIND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**Para:** Dirección General de PayMind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**De:** Antonio Gutiérrez | Consultor de Crecimiento &amp; Pagos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**Asunto:** Plan de Aceleración GTM Gasolineras (Integración Volumétrica y Medición del Caso ORSAN)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**Tiempo de Lectura:** 2 Minutos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⚡ 1. Arquitectura del Plan GTM y Foco Operativo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El objetivo estratégico de PayMind en el sector gasolinero no es competir como un revendedor tradicional de terminales, sino consolidarse como la </w:t>
      </w:r>
      <w:r>
        <w:rPr>
          <w:rFonts w:ascii="Calibri" w:hAnsi="Calibri"/>
          <w:b/>
          <w:color w:val="0F172A"/>
        </w:rPr>
        <w:t>Capa de Interoperabilidad e Infraestructura de Cobro</w:t>
      </w:r>
      <w:r>
        <w:rPr>
          <w:rFonts w:ascii="Calibri" w:hAnsi="Calibri"/>
          <w:color w:val="334155"/>
          <w:sz w:val="22"/>
        </w:rPr>
        <w:t xml:space="preserve"> conectada directamente al sistema de control volumétrico (SAT Anexo 30) y a la adquirencia multibanco (BBVA, BanBajío, Afirme) con depósitos al día siguiente (T+1).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                   STACK DE INFRAESTRUCTURA DE PAGOS                 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1. VOLUMÉTRICO ➔ ControlGAS (ATIO), eGas, NexusFuel, Gasomarshal Odoo 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2. PAYMIND     ➔ Orquestación de Pagos Multi-Adquirente (T+1)         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3. HARDWARE    ➔ SmartPOS Nexgo ATEX (Inalámbrico antichispas en isla)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4. OPERACIÓN   ➔ Conciliación Automática (Despacho - Pago - Factura)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🎯 2. Ejecución Prioritaria a 90 Días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Para garantizar tracción comercial inmediata y maximizar la eficiencia de recursos: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Mes 1 (Auditoría Interna de Producción):</w:t>
      </w:r>
      <w:r>
        <w:rPr>
          <w:rFonts w:ascii="Calibri" w:hAnsi="Calibri"/>
          <w:color w:val="334155"/>
          <w:sz w:val="22"/>
        </w:rPr>
        <w:t xml:space="preserve"> Extraer las métricas operativas y transaccionales del caso vivo </w:t>
      </w:r>
      <w:r>
        <w:rPr>
          <w:rFonts w:ascii="Calibri" w:hAnsi="Calibri"/>
          <w:b/>
          <w:color w:val="0F172A"/>
        </w:rPr>
        <w:t>Grupo ORSAN (Mobil)</w:t>
      </w:r>
      <w:r>
        <w:rPr>
          <w:rFonts w:ascii="Calibri" w:hAnsi="Calibri"/>
          <w:color w:val="334155"/>
          <w:sz w:val="22"/>
        </w:rPr>
        <w:t xml:space="preserve"> para disponer de evidencia empírica real de autorización, velocidad de despacho y tasa de adopción.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Mes 2 (Partnership Técnico de Distribución):</w:t>
      </w:r>
      <w:r>
        <w:rPr>
          <w:rFonts w:ascii="Calibri" w:hAnsi="Calibri"/>
          <w:color w:val="334155"/>
          <w:sz w:val="22"/>
        </w:rPr>
        <w:t xml:space="preserve"> Cerrar acuerdo de integración certificada con un proveedor de software volumétrico enfocado en independientes (</w:t>
      </w:r>
      <w:r>
        <w:rPr>
          <w:rFonts w:ascii="Calibri" w:hAnsi="Calibri"/>
          <w:b/>
          <w:color w:val="0F172A"/>
        </w:rPr>
        <w:t>eGas o NexusFuel</w:t>
      </w:r>
      <w:r>
        <w:rPr>
          <w:rFonts w:ascii="Calibri" w:hAnsi="Calibri"/>
          <w:color w:val="334155"/>
          <w:sz w:val="22"/>
        </w:rPr>
        <w:t>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Mes 3 (Densidad en Clúster Regional):</w:t>
      </w:r>
      <w:r>
        <w:rPr>
          <w:rFonts w:ascii="Calibri" w:hAnsi="Calibri"/>
          <w:color w:val="334155"/>
          <w:sz w:val="22"/>
        </w:rPr>
        <w:t xml:space="preserve"> Concentrar el esfuerzo comercial en el clúster geográfico de mayor densidad y acceso directo (</w:t>
      </w:r>
      <w:r>
        <w:rPr>
          <w:rFonts w:ascii="Calibri" w:hAnsi="Calibri"/>
          <w:b/>
          <w:color w:val="0F172A"/>
        </w:rPr>
        <w:t>Sureste / Península</w:t>
      </w:r>
      <w:r>
        <w:rPr>
          <w:rFonts w:ascii="Calibri" w:hAnsi="Calibri"/>
          <w:color w:val="334155"/>
          <w:sz w:val="22"/>
        </w:rPr>
        <w:t>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📊 3. Los 4 Activos de Prospección Listos para Despliegue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Base de Datos Segmentada (433 Gasolineras):</w:t>
      </w:r>
      <w:r>
        <w:rPr>
          <w:rFonts w:ascii="Calibri" w:hAnsi="Calibri"/>
          <w:color w:val="334155"/>
          <w:sz w:val="22"/>
        </w:rPr>
        <w:t xml:space="preserve"> Clasificadas en Top Tier ABM, Mid Market e Independientes.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Secuencias de Prospección Socrática (Snov.io):</w:t>
      </w:r>
      <w:r>
        <w:rPr>
          <w:rFonts w:ascii="Calibri" w:hAnsi="Calibri"/>
          <w:color w:val="334155"/>
          <w:sz w:val="22"/>
        </w:rPr>
        <w:t xml:space="preserve"> Mensajes directos de baja fricción enfocados en cobro al pie de bomba sin cambiar de banco adquirente.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Directorio ONEXPO (43 Asociaciones Estatales):</w:t>
      </w:r>
      <w:r>
        <w:rPr>
          <w:rFonts w:ascii="Calibri" w:hAnsi="Calibri"/>
          <w:color w:val="334155"/>
          <w:sz w:val="22"/>
        </w:rPr>
        <w:t xml:space="preserve"> Mapeo de liderazgo gremial en los 32 estados.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Calculadora de Adquirencia Directa:</w:t>
      </w:r>
      <w:r>
        <w:rPr>
          <w:rFonts w:ascii="Calibri" w:hAnsi="Calibri"/>
          <w:color w:val="334155"/>
          <w:sz w:val="22"/>
        </w:rPr>
        <w:t xml:space="preserve"> Herramienta interactiva para simular ahorros en tasa de descuento bancaria y flujo T+1.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💡 CONCLUSIÓN Y PRÓXIMOS PASOS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**"El camino de menor fricción y mayor tracción para PayMind consiste en validar la línea base operativa con los datos reales de Grupo ORSAN, amarrar la integración técnica con un volumétrico de independientes y dominar la densidad regional en 90 días con evidencia empírica indiscutible."**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