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40" w:after="120"/>
      </w:pPr>
      <w:r>
        <w:rPr>
          <w:rFonts w:ascii="Calibri" w:hAnsi="Calibri"/>
          <w:b/>
          <w:color w:val="0F172A"/>
          <w:sz w:val="40"/>
        </w:rPr>
        <w:t>🎯 Playbook Comercial PayMind: Vertical Gasolineras &amp; Estaciones de Servicio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---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1. 📰 Contexto Macroeconómico: El Acuerdo Temporal de "Comisión Cero" en Gasolineras</w:t>
      </w:r>
    </w:p>
    <w:p>
      <w:pPr>
        <w:spacing w:before="80" w:after="80"/>
        <w:ind w:left="576"/>
      </w:pPr>
      <w:r>
        <w:rPr>
          <w:rFonts w:ascii="Calibri" w:hAnsi="Calibri"/>
          <w:i/>
          <w:color w:val="475569"/>
        </w:rPr>
        <w:t>[!WARNING]</w:t>
      </w:r>
    </w:p>
    <w:p>
      <w:pPr>
        <w:spacing w:before="80" w:after="80"/>
        <w:ind w:left="576"/>
      </w:pPr>
      <w:r>
        <w:rPr>
          <w:rFonts w:ascii="Calibri" w:hAnsi="Calibri"/>
          <w:i/>
          <w:color w:val="475569"/>
        </w:rPr>
        <w:t>**La Medida de SHCP / DOF:** Se eliminó temporalmente por **6 meses** la Cuota de Intercambio en gasolineras, costándole **$1,600 MDP** a bancos tradicionales y valeras.</w:t>
      </w:r>
    </w:p>
    <w:p>
      <w:pPr>
        <w:spacing w:before="80" w:after="80"/>
        <w:ind w:left="576"/>
      </w:pPr>
      <w:r>
        <w:rPr>
          <w:rFonts w:ascii="Calibri" w:hAnsi="Calibri"/>
          <w:i/>
          <w:color w:val="475569"/>
        </w:rPr>
        <w:t>- **Ahorro promedio reportado por Hacienda:**</w:t>
      </w:r>
    </w:p>
    <w:p>
      <w:pPr>
        <w:spacing w:before="80" w:after="80"/>
        <w:ind w:left="576"/>
      </w:pPr>
      <w:r>
        <w:rPr>
          <w:rFonts w:ascii="Calibri" w:hAnsi="Calibri"/>
          <w:i/>
          <w:color w:val="475569"/>
        </w:rPr>
        <w:t>- **Tarjeta de Débito:** Deja de pagar en promedio **`$2.57 MXN`** por transacción.</w:t>
      </w:r>
    </w:p>
    <w:p>
      <w:pPr>
        <w:spacing w:before="80" w:after="80"/>
        <w:ind w:left="576"/>
      </w:pPr>
      <w:r>
        <w:rPr>
          <w:rFonts w:ascii="Calibri" w:hAnsi="Calibri"/>
          <w:i/>
          <w:color w:val="475569"/>
        </w:rPr>
        <w:t>- **Tarjeta de Crédito:** Descuento de hasta **`$7.45 MXN`** por transacción.</w:t>
      </w:r>
    </w:p>
    <w:p>
      <w:pPr>
        <w:spacing w:before="80" w:after="80"/>
        <w:ind w:left="576"/>
      </w:pPr>
      <w:r>
        <w:rPr>
          <w:rFonts w:ascii="Calibri" w:hAnsi="Calibri"/>
          <w:i/>
          <w:color w:val="475569"/>
        </w:rPr>
        <w:t>- **Volumen Nacional:** **401.3 millones de transacciones con tarjeta** cada 6 meses (70% débito, 30% crédito).</w:t>
      </w:r>
    </w:p>
    <w:p>
      <w:pPr>
        <w:keepNext/>
        <w:spacing w:before="240" w:after="120"/>
      </w:pPr>
      <w:r>
        <w:rPr>
          <w:rFonts w:ascii="Calibri" w:hAnsi="Calibri"/>
          <w:b/>
          <w:color w:val="1E293B"/>
          <w:sz w:val="26"/>
        </w:rPr>
        <w:t>🔍 La "Trampa" de los 6 Meses y el Reframe Comercial PayMind:</w:t>
      </w:r>
    </w:p>
    <w:p>
      <w:pPr>
        <w:pStyle w:val="ListNumber"/>
        <w:spacing w:after="60"/>
      </w:pPr>
      <w:r>
        <w:rPr>
          <w:rFonts w:ascii="Calibri" w:hAnsi="Calibri"/>
          <w:b/>
          <w:color w:val="0F172A"/>
        </w:rPr>
        <w:t>Es un Parche Temporal:</w:t>
      </w:r>
      <w:r>
        <w:rPr>
          <w:rFonts w:ascii="Calibri" w:hAnsi="Calibri"/>
          <w:color w:val="334155"/>
          <w:sz w:val="22"/>
        </w:rPr>
        <w:t xml:space="preserve"> En cuanto terminen los 6 meses, los bancos tradicionales reactivarán las cuotas de intercambio (hasta </w:t>
      </w:r>
      <w:r>
        <w:rPr>
          <w:rFonts w:ascii="Calibri" w:hAnsi="Calibri"/>
          <w:b/>
          <w:color w:val="0F172A"/>
        </w:rPr>
        <w:t>1.91% en crédito y 1.15% en débito</w:t>
      </w:r>
      <w:r>
        <w:rPr>
          <w:rFonts w:ascii="Calibri" w:hAnsi="Calibri"/>
          <w:color w:val="334155"/>
          <w:sz w:val="22"/>
        </w:rPr>
        <w:t>) con mayor agresividad para recuperar los 1,600 MDP perdidos.</w:t>
      </w:r>
    </w:p>
    <w:p>
      <w:pPr>
        <w:pStyle w:val="ListNumber"/>
        <w:spacing w:after="60"/>
      </w:pPr>
      <w:r>
        <w:rPr>
          <w:rFonts w:ascii="Calibri" w:hAnsi="Calibri"/>
          <w:b/>
          <w:color w:val="0F172A"/>
        </w:rPr>
        <w:t>Las Rentas y Comisiones Adquirentes Siguen Vivas:</w:t>
      </w:r>
      <w:r>
        <w:rPr>
          <w:rFonts w:ascii="Calibri" w:hAnsi="Calibri"/>
          <w:color w:val="334155"/>
          <w:sz w:val="22"/>
        </w:rPr>
        <w:t xml:space="preserve"> Aunque la cuota de intercambio esté en pausa, los bancos tradicionales siguen cobrando </w:t>
      </w:r>
      <w:r>
        <w:rPr>
          <w:rFonts w:ascii="Calibri" w:hAnsi="Calibri"/>
          <w:b/>
          <w:color w:val="0F172A"/>
        </w:rPr>
        <w:t>renta mensual por terminal, penalizaciones por inactividad y comisiones de switch</w:t>
      </w:r>
      <w:r>
        <w:rPr>
          <w:rFonts w:ascii="Calibri" w:hAnsi="Calibri"/>
          <w:color w:val="334155"/>
          <w:sz w:val="22"/>
        </w:rPr>
        <w:t>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 xml:space="preserve">3. </w:t>
      </w:r>
      <w:r>
        <w:rPr>
          <w:rFonts w:ascii="Calibri" w:hAnsi="Calibri"/>
          <w:b/>
          <w:color w:val="0F172A"/>
        </w:rPr>
        <w:t>El Gancho Socrático:</w:t>
      </w:r>
    </w:p>
    <w:p>
      <w:pPr>
        <w:spacing w:before="80" w:after="80"/>
        <w:ind w:left="576"/>
      </w:pPr>
      <w:r>
        <w:rPr>
          <w:rFonts w:ascii="Calibri" w:hAnsi="Calibri"/>
          <w:i/>
          <w:color w:val="475569"/>
        </w:rPr>
        <w:t>*"Aprovechando la ventana de 6 meses de tasa cero de Hacienda: ¿qué estrategia tienen para cuando venza el subsidio y los bancos vuelvan a cobrarles los $7.45 por ticket de crédito? Con PayMind blindan su tecnología con SmartPOS propia, App2App al dispensario y liquidación T+1 para siempre."*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---</w:t>
      </w:r>
    </w:p>
    <w:p>
      <w:pPr>
        <w:keepNext/>
        <w:spacing w:before="240" w:after="120"/>
      </w:pPr>
      <w:r>
        <w:rPr>
          <w:rFonts w:ascii="Calibri" w:hAnsi="Calibri"/>
          <w:b/>
          <w:color w:val="1E293B"/>
          <w:sz w:val="26"/>
        </w:rPr>
        <w:t>2. Marco Regulatorio Oficial (DOF / SAT / ONEXPO Nacional)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Acuerdo DOF 124/2026 (14/08/2026):</w:t>
      </w:r>
      <w:r>
        <w:rPr>
          <w:rFonts w:ascii="Calibri" w:hAnsi="Calibri"/>
          <w:color w:val="334155"/>
          <w:sz w:val="22"/>
        </w:rPr>
        <w:t xml:space="preserve"> Cuota oficial de IEPS de </w:t>
      </w:r>
      <w:r>
        <w:rPr>
          <w:rFonts w:ascii="Calibri" w:hAnsi="Calibri"/>
          <w:b/>
          <w:color w:val="0F172A"/>
        </w:rPr>
        <w:t>$5.5979 MXN/L</w:t>
      </w:r>
      <w:r>
        <w:rPr>
          <w:rFonts w:ascii="Calibri" w:hAnsi="Calibri"/>
          <w:color w:val="334155"/>
          <w:sz w:val="22"/>
        </w:rPr>
        <w:t xml:space="preserve"> en Magna (con estímulo del 16.45%) y </w:t>
      </w:r>
      <w:r>
        <w:rPr>
          <w:rFonts w:ascii="Calibri" w:hAnsi="Calibri"/>
          <w:b/>
          <w:color w:val="0F172A"/>
        </w:rPr>
        <w:t>$5.6579 MXN/L</w:t>
      </w:r>
      <w:r>
        <w:rPr>
          <w:rFonts w:ascii="Calibri" w:hAnsi="Calibri"/>
          <w:color w:val="334155"/>
          <w:sz w:val="22"/>
        </w:rPr>
        <w:t xml:space="preserve"> en Premium (0% estímulo).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Validación Gremial ONEXPO Nacional A.C.:</w:t>
      </w:r>
      <w:r>
        <w:rPr>
          <w:rFonts w:ascii="Calibri" w:hAnsi="Calibri"/>
          <w:color w:val="334155"/>
          <w:sz w:val="22"/>
        </w:rPr>
        <w:t xml:space="preserve"> Como reporta la propia *Organización Nacional de Expendedores de Petróleo (ONEXPO)* en sus boletines de análisis sectorial: *"La contención fiscal y el 40% de carga impositiva sofocan la rentabilidad del sector gasolinero minorista"*.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Mandato SAT / SENER / ATDT (Fecha límite: 24 de Abril):</w:t>
      </w:r>
      <w:r>
        <w:rPr>
          <w:rFonts w:ascii="Calibri" w:hAnsi="Calibri"/>
          <w:color w:val="334155"/>
          <w:sz w:val="22"/>
        </w:rPr>
        <w:t xml:space="preserve"> Entrada en vigor obligatoria del nuevo </w:t>
      </w:r>
      <w:r>
        <w:rPr>
          <w:rFonts w:ascii="Calibri" w:hAnsi="Calibri"/>
          <w:b/>
          <w:color w:val="0F172A"/>
        </w:rPr>
        <w:t>Complemento Concepto para Facturación de Hidrocarburos y Petrolíferos</w:t>
      </w:r>
      <w:r>
        <w:rPr>
          <w:rFonts w:ascii="Calibri" w:hAnsi="Calibri"/>
          <w:color w:val="334155"/>
          <w:sz w:val="22"/>
        </w:rPr>
        <w:t>. La facturación estará condicionada a la validación de permisos ante la Comisión Nacional de Energía (CNE). Las estaciones que no integren la adquirencia SmartPOS al control volumétrico sufrirán bloqueos inmediatos de CFDI.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Acuerdo DOF de Cuota de Intercambio (Temporal de 6 meses):</w:t>
      </w:r>
      <w:r>
        <w:rPr>
          <w:rFonts w:ascii="Calibri" w:hAnsi="Calibri"/>
          <w:color w:val="334155"/>
          <w:sz w:val="22"/>
        </w:rPr>
        <w:t xml:space="preserve"> Hacienda eliminó temporalmente la cuota de intercambio bancaria (costando $1,600 MDP a los bancos). En el mes 7, los bancos regresan a cobrar comisiones plenas de hasta 1.91% en crédito.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Precio al Público (PVP):</w:t>
      </w:r>
      <w:r>
        <w:rPr>
          <w:rFonts w:ascii="Calibri" w:hAnsi="Calibri"/>
          <w:color w:val="334155"/>
          <w:sz w:val="22"/>
        </w:rPr>
        <w:t xml:space="preserve"> </w:t>
      </w:r>
      <w:r>
        <w:rPr>
          <w:rFonts w:ascii="Consolas" w:hAnsi="Consolas"/>
          <w:color w:val="E11D48"/>
          <w:sz w:val="19"/>
        </w:rPr>
        <w:t>~$24.00 MXN / litro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Carga Fiscal (IEPS + IVA):</w:t>
      </w:r>
      <w:r>
        <w:rPr>
          <w:rFonts w:ascii="Calibri" w:hAnsi="Calibri"/>
          <w:color w:val="334155"/>
          <w:sz w:val="22"/>
        </w:rPr>
        <w:t xml:space="preserve"> </w:t>
      </w:r>
      <w:r>
        <w:rPr>
          <w:rFonts w:ascii="Consolas" w:hAnsi="Consolas"/>
          <w:color w:val="E11D48"/>
          <w:sz w:val="19"/>
        </w:rPr>
        <w:t>~$8.91 MXN</w:t>
      </w:r>
      <w:r>
        <w:rPr>
          <w:rFonts w:ascii="Calibri" w:hAnsi="Calibri"/>
          <w:color w:val="334155"/>
          <w:sz w:val="22"/>
        </w:rPr>
        <w:t xml:space="preserve"> (</w:t>
      </w:r>
      <w:r>
        <w:rPr>
          <w:rFonts w:ascii="Calibri" w:hAnsi="Calibri"/>
          <w:b/>
          <w:color w:val="0F172A"/>
        </w:rPr>
        <w:t>~40% del precio total</w:t>
      </w:r>
      <w:r>
        <w:rPr>
          <w:rFonts w:ascii="Calibri" w:hAnsi="Calibri"/>
          <w:color w:val="334155"/>
          <w:sz w:val="22"/>
        </w:rPr>
        <w:t>, superando por el doble a EE.UU. [$1.15 USD/L]).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Margen Bruto del Gasolinero:</w:t>
      </w:r>
      <w:r>
        <w:rPr>
          <w:rFonts w:ascii="Calibri" w:hAnsi="Calibri"/>
          <w:color w:val="334155"/>
          <w:sz w:val="22"/>
        </w:rPr>
        <w:t xml:space="preserve"> Solo </w:t>
      </w:r>
      <w:r>
        <w:rPr>
          <w:rFonts w:ascii="Calibri" w:hAnsi="Calibri"/>
          <w:b/>
          <w:color w:val="0F172A"/>
        </w:rPr>
        <w:t>`$0.80 a $1.40 MXN` por litro</w:t>
      </w:r>
      <w:r>
        <w:rPr>
          <w:rFonts w:ascii="Calibri" w:hAnsi="Calibri"/>
          <w:color w:val="334155"/>
          <w:sz w:val="22"/>
        </w:rPr>
        <w:t xml:space="preserve"> (3.5% a 5.5%).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La Mordida Bancaria Tradicional:</w:t>
      </w:r>
      <w:r>
        <w:rPr>
          <w:rFonts w:ascii="Calibri" w:hAnsi="Calibri"/>
          <w:color w:val="334155"/>
          <w:sz w:val="22"/>
        </w:rPr>
        <w:t xml:space="preserve"> 2.0% cobrado sobre los $24.00 brutos = </w:t>
      </w:r>
      <w:r>
        <w:rPr>
          <w:rFonts w:ascii="Calibri" w:hAnsi="Calibri"/>
          <w:b/>
          <w:color w:val="0F172A"/>
        </w:rPr>
        <w:t>$0.48/L</w:t>
      </w:r>
      <w:r>
        <w:rPr>
          <w:rFonts w:ascii="Calibri" w:hAnsi="Calibri"/>
          <w:color w:val="334155"/>
          <w:sz w:val="22"/>
        </w:rPr>
        <w:t xml:space="preserve"> (devorando el </w:t>
      </w:r>
      <w:r>
        <w:rPr>
          <w:rFonts w:ascii="Calibri" w:hAnsi="Calibri"/>
          <w:b/>
          <w:color w:val="0F172A"/>
        </w:rPr>
        <w:t>43.6% de la ganancia neta</w:t>
      </w:r>
      <w:r>
        <w:rPr>
          <w:rFonts w:ascii="Calibri" w:hAnsi="Calibri"/>
          <w:color w:val="334155"/>
          <w:sz w:val="22"/>
        </w:rPr>
        <w:t xml:space="preserve"> del operador).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---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4. 🛡️ Matriz de Objeciones y Diferenciadores Técnicos PayMind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F172A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2"/>
              </w:rPr>
              <w:t>Objeción / Escenario Actual</w:t>
            </w:r>
          </w:p>
        </w:tc>
        <w:tc>
          <w:tcPr>
            <w:tcW w:type="dxa" w:w="3312"/>
            <w:shd w:fill="0F172A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2"/>
              </w:rPr>
              <w:t>Realidad con Banco Tradicional</w:t>
            </w:r>
          </w:p>
        </w:tc>
        <w:tc>
          <w:tcPr>
            <w:tcW w:type="dxa" w:w="3312"/>
            <w:shd w:fill="0F172A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2"/>
              </w:rPr>
              <w:t>Solución PayMind</w:t>
            </w:r>
          </w:p>
        </w:tc>
      </w:tr>
      <w:tr>
        <w:tc>
          <w:tcPr>
            <w:tcW w:type="dxa" w:w="3312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"Hacienda puso comisión cero por 6 meses"</w:t>
            </w:r>
          </w:p>
        </w:tc>
        <w:tc>
          <w:tcPr>
            <w:tcW w:type="dxa" w:w="3312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Alivio temporal. En el mes 7 regresan las tarifas de hasta 1.91% y sigues pagando rentas de TPVs.</w:t>
            </w:r>
          </w:p>
        </w:tc>
        <w:tc>
          <w:tcPr>
            <w:tcW w:type="dxa" w:w="3312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Solución Estructural:</w:t>
            </w:r>
            <w:r>
              <w:rPr>
                <w:rFonts w:ascii="Calibri" w:hAnsi="Calibri"/>
                <w:color w:val="334155"/>
                <w:sz w:val="22"/>
              </w:rPr>
              <w:t xml:space="preserve"> Migras a SmartPOS Android propia, sin rentas ocultas y con infraestructura App2App lista para el futuro.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Cumplimiento Anexo 30 SAT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Despachador teclea montos a mano en la terminal; discrepancias con el dispensario generan multas.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App2App Integrada:</w:t>
            </w:r>
            <w:r>
              <w:rPr>
                <w:rFonts w:ascii="Calibri" w:hAnsi="Calibri"/>
                <w:color w:val="334155"/>
                <w:sz w:val="22"/>
              </w:rPr>
              <w:t xml:space="preserve"> El dispensario pasa el importe exacto en tiempo real a la SmartPOS. Cero errores humanos.</w:t>
            </w:r>
          </w:p>
        </w:tc>
      </w:tr>
      <w:tr>
        <w:tc>
          <w:tcPr>
            <w:tcW w:type="dxa" w:w="3312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Caos de Vales (Edenred / Sodexo / SiVale)</w:t>
            </w:r>
          </w:p>
        </w:tc>
        <w:tc>
          <w:tcPr>
            <w:tcW w:type="dxa" w:w="3312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4 terminales colgadas en la bomba con liquidaciones lentas a 72h-96h.</w:t>
            </w:r>
          </w:p>
        </w:tc>
        <w:tc>
          <w:tcPr>
            <w:tcW w:type="dxa" w:w="3312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All-in-One + T+1:</w:t>
            </w:r>
            <w:r>
              <w:rPr>
                <w:rFonts w:ascii="Calibri" w:hAnsi="Calibri"/>
                <w:color w:val="334155"/>
                <w:sz w:val="22"/>
              </w:rPr>
              <w:t xml:space="preserve"> Todos los vales y tarjetas en una sola terminal con dispersión diaria para compra de pipas.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Nuevo CFDI Hidrocarburos (24 Abril)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Sistemas tradicionales desconectados no pueden validar permisos CNE.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Timbrado y Validación Automática:</w:t>
            </w:r>
            <w:r>
              <w:rPr>
                <w:rFonts w:ascii="Calibri" w:hAnsi="Calibri"/>
                <w:color w:val="334155"/>
                <w:sz w:val="22"/>
              </w:rPr>
              <w:t xml:space="preserve"> Cumplimiento total SAT / SENER / ATDT.</w:t>
            </w:r>
          </w:p>
        </w:tc>
      </w:tr>
    </w:tbl>
    <w:p/>
    <w:p>
      <w:pPr>
        <w:spacing w:after="80"/>
      </w:pPr>
      <w:r>
        <w:rPr>
          <w:rFonts w:ascii="Calibri" w:hAnsi="Calibri"/>
          <w:color w:val="334155"/>
          <w:sz w:val="22"/>
        </w:rPr>
        <w:t>---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5. 📬 Cadencia Quirúrgica de 4 Pasos</w:t>
      </w:r>
    </w:p>
    <w:p>
      <w:pPr>
        <w:pStyle w:val="ListNumber"/>
        <w:spacing w:after="60"/>
      </w:pPr>
      <w:r>
        <w:rPr>
          <w:rFonts w:ascii="Calibri" w:hAnsi="Calibri"/>
          <w:b/>
          <w:color w:val="0F172A"/>
        </w:rPr>
        <w:t>Paso 1 (Día 1):</w:t>
      </w:r>
      <w:r>
        <w:rPr>
          <w:rFonts w:ascii="Calibri" w:hAnsi="Calibri"/>
          <w:color w:val="334155"/>
          <w:sz w:val="22"/>
        </w:rPr>
        <w:t xml:space="preserve"> Urgencia CFDI 24 de Abril + Ventana de 6 meses de Hacienda + Ahorro permanente de margen.</w:t>
      </w:r>
    </w:p>
    <w:p>
      <w:pPr>
        <w:pStyle w:val="ListNumber"/>
        <w:spacing w:after="60"/>
      </w:pPr>
      <w:r>
        <w:rPr>
          <w:rFonts w:ascii="Calibri" w:hAnsi="Calibri"/>
          <w:b/>
          <w:color w:val="0F172A"/>
        </w:rPr>
        <w:t>Paso 2 (Día 4):</w:t>
      </w:r>
      <w:r>
        <w:rPr>
          <w:rFonts w:ascii="Calibri" w:hAnsi="Calibri"/>
          <w:color w:val="334155"/>
          <w:sz w:val="22"/>
        </w:rPr>
        <w:t xml:space="preserve"> Anexo 30 SAT y eliminación de doble captura en dispensario.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 xml:space="preserve">3. </w:t>
      </w:r>
      <w:r>
        <w:rPr>
          <w:rFonts w:ascii="Calibri" w:hAnsi="Calibri"/>
          <w:b/>
          <w:color w:val="0F172A"/>
        </w:rPr>
        <w:t>Paso 3 (Día 8):</w:t>
      </w:r>
      <w:r>
        <w:rPr>
          <w:rFonts w:ascii="Calibri" w:hAnsi="Calibri"/>
          <w:color w:val="334155"/>
          <w:sz w:val="22"/>
        </w:rPr>
        <w:t xml:space="preserve"> Caso de éxito: Unificación de vales y liquidación T+1 diaria.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 xml:space="preserve">4. </w:t>
      </w:r>
      <w:r>
        <w:rPr>
          <w:rFonts w:ascii="Calibri" w:hAnsi="Calibri"/>
          <w:b/>
          <w:color w:val="0F172A"/>
        </w:rPr>
        <w:t>Paso 4 (Día 12):</w:t>
      </w:r>
      <w:r>
        <w:rPr>
          <w:rFonts w:ascii="Calibri" w:hAnsi="Calibri"/>
          <w:color w:val="334155"/>
          <w:sz w:val="22"/>
        </w:rPr>
        <w:t xml:space="preserve"> Breakup estratégico con enlace a la calculadora interactiva.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