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🧠 Framework de Comunicación C-Level &amp; Regla de la Tercera Transferencia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**Basado en:** Metodología CPS, Regla de la Tercera Transferencia y Matriz de Adaptación por Rol Ejecutivo (C-Level).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**Ámbito:** Exclusivo Sector Gasolinero México 2026.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📐 1. La Ley de la Tercera Transferencia (¿Qué llega realmente al CFO?)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En ventas B2B complejas (CPS), la demo inicial la ve un "Champion" (Gerente de Estación, Contador o Encargado de TI). Sin embargo, el tomador de decisión final (el Dueño o CFO) </w:t>
      </w:r>
      <w:r>
        <w:rPr>
          <w:rFonts w:ascii="Calibri" w:hAnsi="Calibri"/>
          <w:b/>
          <w:color w:val="0F172A"/>
        </w:rPr>
        <w:t>nunca ve la demo completa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propuesta de PayMind no debe diseñarse para la demo, sino para lo que </w:t>
      </w:r>
      <w:r>
        <w:rPr>
          <w:rFonts w:ascii="Calibri" w:hAnsi="Calibri"/>
          <w:b/>
          <w:color w:val="0F172A"/>
        </w:rPr>
        <w:t>SOBREVIVE a la tercera transferencia</w:t>
      </w:r>
      <w:r>
        <w:rPr>
          <w:rFonts w:ascii="Calibri" w:hAnsi="Calibri"/>
          <w:color w:val="334155"/>
          <w:sz w:val="22"/>
        </w:rPr>
        <w:t>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DEMO (100% Data)        │ ➔ "Reducimos 12 horas por empleado y bloqueamos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└───────────────┬────────────────┘    la terminal SmartPOS al dispensario ATEX."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 (Perdida de 40% del contexto)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CHAMPION (60% Data)       │ ➔ "El equipo ahorra mucho tiempo en la bomba y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└───────────────┬────────────────┘    evitamos errores de tecleo."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 (Perdida de 40% adicional)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CFO (20% Data)          │ ➔ "Hay ganancias de eficiencia y recuperamos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└────────────────────────────────┘    el costo de 1 pipa de gasolina al año."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🎯 La Frase que DEBE Sobrevivir para PayMind: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**"Conectar PayMind al volumétrico nos ahorra el 0.6% de comisiones (equivalente a recuperar 1 pipa de gasolina al año por estación) y elimina las multas del SAT por errores de tecleo."**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👥 2. Matriz de Comunicación por Rol (Perfil C-Level)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Rol / Perfil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Estilo de Comunicación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Discurso Clave de PayMind (Open Loop)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CEO / El Dueño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Directo &amp; Visión de Conjunto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*"Aumenta el margen neto de tus estaciones en 0.6% por litro y protege el valor de tu patrimonio sin cambiar tu banco ni tu sistema actual."*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CFO / El Contador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Números, Hechos &amp; Análisis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*"Conciliación automática en tiempo real inyectada a tu ERP (NexusFuel/Intelisis/Odoo) con depósitos T+1 en tarjetas bancarias."*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CRO / Director Comercial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ROI &amp; Visión de Escalabilidad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*"Cobro en bomba en 10 segundos para eliminar filas a las 2:00 PM y capturar los $800 MXN que hoy se van a la competencia."*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CTO / Gerente de TI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Cauteloso, Monótono &amp; Detallista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*"Terminales Nexgo Android con certificación PCI 6.x y especificación ATEX antichispas. Integración bidireccional por API/Webhooks."*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CMO / Marketing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Ideas Creativas &amp; Analítica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*"Pantallas SmartPOS de alta definición para proyectar ofertas de aditivos y productos de tienda durante los 45 segundos de carga."*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🎪 3. Ecosistema de Expositores &amp; Partners Identificados en el Sector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Basado en el evento de referencia nacional </w:t>
      </w:r>
      <w:r>
        <w:rPr>
          <w:rFonts w:ascii="Calibri" w:hAnsi="Calibri"/>
          <w:b/>
          <w:color w:val="0F172A"/>
        </w:rPr>
        <w:t>*De Gasolinero a Gasolinero</w:t>
      </w:r>
      <w:r>
        <w:rPr>
          <w:rFonts w:ascii="Calibri" w:hAnsi="Calibri"/>
          <w:color w:val="334155"/>
          <w:sz w:val="22"/>
        </w:rPr>
        <w:t>* (organizado por Mariano Gutiérrez / *Mi Gasolinera*), los proveedores clave con los que PayMind convive e integra son: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SOFWARES Y PLATAFORMAS CLAVE DEL SECTOR GASOLINERO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├──────────────────────────┬───────────────────────────────────────────────────────┤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ERPs &amp; Administración    │ NexusFuel, Gaslight System, Energiamas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Volumétricos &amp; Isla      │ ATIO Group (ControlGAS), eGas, KernoTek, Controlux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├──────────────────────────┼───────────────────────────────────────────────────────┤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Consultoría &amp; Cumplimiento│ Grupo CIITA, UV Consulting Group, Conformiteas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└──────────────────────────┴───────────────────────────────────────────────────────┘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4. Aplicación Práctica en la Secuencia Outbound (Snov.io / WhatsApp)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Al contactar a los </w:t>
      </w:r>
      <w:r>
        <w:rPr>
          <w:rFonts w:ascii="Calibri" w:hAnsi="Calibri"/>
          <w:b/>
          <w:color w:val="0F172A"/>
        </w:rPr>
        <w:t>433 prospectos</w:t>
      </w:r>
      <w:r>
        <w:rPr>
          <w:rFonts w:ascii="Calibri" w:hAnsi="Calibri"/>
          <w:color w:val="334155"/>
          <w:sz w:val="22"/>
        </w:rPr>
        <w:t>, adaptamos el correo dependiendo del cargo identificado: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Si el contacto es Director / Dueño (CEO):</w:t>
      </w:r>
      <w:r>
        <w:rPr>
          <w:rFonts w:ascii="Calibri" w:hAnsi="Calibri"/>
          <w:color w:val="334155"/>
          <w:sz w:val="22"/>
        </w:rPr>
        <w:t xml:space="preserve"> Enviar Lead Magnet 2 (Matriz Financiera de Margen - 1 Página).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Si el contacto es Contador / Contralor (CFO):</w:t>
      </w:r>
      <w:r>
        <w:rPr>
          <w:rFonts w:ascii="Calibri" w:hAnsi="Calibri"/>
          <w:color w:val="334155"/>
          <w:sz w:val="22"/>
        </w:rPr>
        <w:t xml:space="preserve"> Enviar Lead Magnet 1 (Check-Up Anexo 30 SAT - 1 Página).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Si el contacto es Gerente de Operaciones / TI (CTO):</w:t>
      </w:r>
      <w:r>
        <w:rPr>
          <w:rFonts w:ascii="Calibri" w:hAnsi="Calibri"/>
          <w:color w:val="334155"/>
          <w:sz w:val="22"/>
        </w:rPr>
        <w:t xml:space="preserve"> Enviar Ficha Técnica de Integración Nexgo ATEX + API Webhooks.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