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 AUDITORÍA ZERO-ASSUMPTION: MATRIZ DE TRAZABILIDAD Y VERIFICACIÓN DE EVIDENCIA</w:t>
      </w:r>
    </w:p>
    <w:p>
      <w:pPr>
        <w:spacing w:before="80" w:after="80"/>
        <w:ind w:left="576"/>
      </w:pPr>
      <w:r>
        <w:rPr>
          <w:rFonts w:ascii="Calibri" w:hAnsi="Calibri"/>
          <w:i/>
          <w:color w:val="475569"/>
        </w:rPr>
        <w:t>**Fecha de Revisión:** 27 de agosto de 2026</w:t>
      </w:r>
    </w:p>
    <w:p>
      <w:pPr>
        <w:spacing w:before="80" w:after="80"/>
        <w:ind w:left="576"/>
      </w:pPr>
      <w:r>
        <w:rPr>
          <w:rFonts w:ascii="Calibri" w:hAnsi="Calibri"/>
          <w:i/>
          <w:color w:val="475569"/>
        </w:rPr>
        <w:t>**Protocolo:** Regla Universal Zero-Assumption — Antonio Gutiérrez</w:t>
      </w:r>
    </w:p>
    <w:p>
      <w:pPr>
        <w:spacing w:before="80" w:after="80"/>
        <w:ind w:left="576"/>
      </w:pPr>
      <w:r>
        <w:rPr>
          <w:rFonts w:ascii="Calibri" w:hAnsi="Calibri"/>
          <w:i/>
          <w:color w:val="475569"/>
        </w:rPr>
        <w:t>**Objetivo:** Descomponer y clasificar con rigor científico y comercial cada una de las métricas, benchmarks y extrapolaciones de mercado, eliminando supuestos no auditados del pitch a gasolineros.</w:t>
      </w:r>
    </w:p>
    <w:p>
      <w:pPr>
        <w:spacing w:after="80"/>
      </w:pPr>
      <w:r>
        <w:rPr>
          <w:rFonts w:ascii="Calibri" w:hAnsi="Calibri"/>
          <w:color w:val="334155"/>
          <w:sz w:val="22"/>
        </w:rPr>
        <w:t>---</w:t>
      </w:r>
    </w:p>
    <w:p>
      <w:pPr>
        <w:keepNext/>
        <w:spacing w:before="240" w:after="120"/>
      </w:pPr>
      <w:r>
        <w:rPr>
          <w:rFonts w:ascii="Calibri" w:hAnsi="Calibri"/>
          <w:b/>
          <w:color w:val="2563EB"/>
          <w:sz w:val="32"/>
        </w:rPr>
        <w:t>📌 1. Principios Metodológicos de Comunicación B2B</w:t>
      </w:r>
    </w:p>
    <w:p>
      <w:pPr>
        <w:spacing w:after="80"/>
      </w:pPr>
      <w:r>
        <w:rPr>
          <w:rFonts w:ascii="Calibri" w:hAnsi="Calibri"/>
          <w:color w:val="334155"/>
          <w:sz w:val="22"/>
        </w:rPr>
        <w:t>Para garantizar credibilidad absoluta ante comités de inversión, gasolineros y partners de software (ATIO, eGas, NexusFuel):</w:t>
      </w:r>
    </w:p>
    <w:p>
      <w:pPr>
        <w:pStyle w:val="ListNumber"/>
        <w:spacing w:after="60"/>
      </w:pPr>
      <w:r>
        <w:rPr>
          <w:rFonts w:ascii="Calibri" w:hAnsi="Calibri"/>
          <w:b/>
          <w:color w:val="0F172A"/>
        </w:rPr>
        <w:t>Hechos Documentados (Fuentes Primarias):</w:t>
      </w:r>
      <w:r>
        <w:rPr>
          <w:rFonts w:ascii="Calibri" w:hAnsi="Calibri"/>
          <w:color w:val="334155"/>
          <w:sz w:val="22"/>
        </w:rPr>
        <w:t xml:space="preserve"> Se presentan como hechos con cita explícita (SAT, CNE, Comunicados Oficiales FEMSA).</w:t>
      </w:r>
    </w:p>
    <w:p>
      <w:pPr>
        <w:pStyle w:val="ListNumber"/>
        <w:spacing w:after="60"/>
      </w:pPr>
      <w:r>
        <w:rPr>
          <w:rFonts w:ascii="Calibri" w:hAnsi="Calibri"/>
          <w:b/>
          <w:color w:val="0F172A"/>
        </w:rPr>
        <w:t>Benchmarks Externos Atribuidos:</w:t>
      </w:r>
      <w:r>
        <w:rPr>
          <w:rFonts w:ascii="Calibri" w:hAnsi="Calibri"/>
          <w:color w:val="334155"/>
          <w:sz w:val="22"/>
        </w:rPr>
        <w:t xml:space="preserve"> Se citan como experiencias internacionales atribuidas al proveedor o estudio (LKS Sinopec, Waitwhile EE. UU., Yuno Vibra Brasil), NUNCA como garantía ni forecast en México.</w:t>
      </w:r>
    </w:p>
    <w:p>
      <w:pPr>
        <w:spacing w:after="80"/>
      </w:pPr>
      <w:r>
        <w:rPr>
          <w:rFonts w:ascii="Calibri" w:hAnsi="Calibri"/>
          <w:color w:val="334155"/>
          <w:sz w:val="22"/>
        </w:rPr>
        <w:t xml:space="preserve">3. </w:t>
      </w:r>
      <w:r>
        <w:rPr>
          <w:rFonts w:ascii="Calibri" w:hAnsi="Calibri"/>
          <w:b/>
          <w:color w:val="0F172A"/>
        </w:rPr>
        <w:t>Hipótesis a Validar en Piloto:</w:t>
      </w:r>
      <w:r>
        <w:rPr>
          <w:rFonts w:ascii="Calibri" w:hAnsi="Calibri"/>
          <w:color w:val="334155"/>
          <w:sz w:val="22"/>
        </w:rPr>
        <w:t xml:space="preserve"> Toda proyección de ahorro laboral, aumento de vehículos/hora, throughput o ingresos publicitarios se etiqueta como </w:t>
      </w:r>
      <w:r>
        <w:rPr>
          <w:rFonts w:ascii="Calibri" w:hAnsi="Calibri"/>
          <w:b/>
          <w:color w:val="0F172A"/>
        </w:rPr>
        <w:t>hipótesis sujeta a validación en campo</w:t>
      </w:r>
      <w:r>
        <w:rPr>
          <w:rFonts w:ascii="Calibri" w:hAnsi="Calibri"/>
          <w:color w:val="334155"/>
          <w:sz w:val="22"/>
        </w:rPr>
        <w:t>, midiendo línea base real.</w:t>
      </w:r>
    </w:p>
    <w:p>
      <w:pPr>
        <w:spacing w:after="80"/>
      </w:pPr>
      <w:r>
        <w:rPr>
          <w:rFonts w:ascii="Calibri" w:hAnsi="Calibri"/>
          <w:color w:val="334155"/>
          <w:sz w:val="22"/>
        </w:rPr>
        <w:t>---</w:t>
      </w:r>
    </w:p>
    <w:p>
      <w:pPr>
        <w:keepNext/>
        <w:spacing w:before="240" w:after="120"/>
      </w:pPr>
      <w:r>
        <w:rPr>
          <w:rFonts w:ascii="Calibri" w:hAnsi="Calibri"/>
          <w:b/>
          <w:color w:val="2563EB"/>
          <w:sz w:val="32"/>
        </w:rPr>
        <w:t>📊 2. Matriz de Auditoría de Evidencia y Rigor Técnico</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Pr>
          <w:p>
            <w:pPr>
              <w:spacing w:after="40" w:before="40"/>
            </w:pPr>
            <w:r>
              <w:rPr>
                <w:rFonts w:ascii="Calibri" w:hAnsi="Calibri"/>
                <w:b/>
                <w:color w:val="FFFFFF"/>
                <w:sz w:val="22"/>
              </w:rPr>
              <w:t>Afirmación / Métrica</w:t>
            </w:r>
          </w:p>
        </w:tc>
        <w:tc>
          <w:tcPr>
            <w:tcW w:type="dxa" w:w="1987"/>
            <w:shd w:fill="0F172A"/>
          </w:tcPr>
          <w:p>
            <w:pPr>
              <w:spacing w:after="40" w:before="40"/>
            </w:pPr>
            <w:r>
              <w:rPr>
                <w:rFonts w:ascii="Calibri" w:hAnsi="Calibri"/>
                <w:b/>
                <w:color w:val="FFFFFF"/>
                <w:sz w:val="22"/>
              </w:rPr>
              <w:t>Fuente Identificada</w:t>
            </w:r>
          </w:p>
        </w:tc>
        <w:tc>
          <w:tcPr>
            <w:tcW w:type="dxa" w:w="1987"/>
            <w:shd w:fill="0F172A"/>
          </w:tcPr>
          <w:p>
            <w:pPr>
              <w:spacing w:after="40" w:before="40"/>
            </w:pPr>
            <w:r>
              <w:rPr>
                <w:rFonts w:ascii="Calibri" w:hAnsi="Calibri"/>
                <w:b/>
                <w:color w:val="FFFFFF"/>
                <w:sz w:val="22"/>
              </w:rPr>
              <w:t>Estado de Verificación</w:t>
            </w:r>
          </w:p>
        </w:tc>
        <w:tc>
          <w:tcPr>
            <w:tcW w:type="dxa" w:w="1987"/>
            <w:shd w:fill="0F172A"/>
          </w:tcPr>
          <w:p>
            <w:pPr>
              <w:spacing w:after="40" w:before="40"/>
            </w:pPr>
            <w:r>
              <w:rPr>
                <w:rFonts w:ascii="Calibri" w:hAnsi="Calibri"/>
                <w:b/>
                <w:color w:val="FFFFFF"/>
                <w:sz w:val="22"/>
              </w:rPr>
              <w:t>Qué SÍ Respalda</w:t>
            </w:r>
          </w:p>
        </w:tc>
        <w:tc>
          <w:tcPr>
            <w:tcW w:type="dxa" w:w="1987"/>
            <w:shd w:fill="0F172A"/>
          </w:tcPr>
          <w:p>
            <w:pPr>
              <w:spacing w:after="40" w:before="40"/>
            </w:pPr>
            <w:r>
              <w:rPr>
                <w:rFonts w:ascii="Calibri" w:hAnsi="Calibri"/>
                <w:b/>
                <w:color w:val="FFFFFF"/>
                <w:sz w:val="22"/>
              </w:rPr>
              <w:t>Redacción Recomendada (Zero-Assumption)</w:t>
            </w:r>
          </w:p>
        </w:tc>
      </w:tr>
      <w:tr>
        <w:tc>
          <w:tcPr>
            <w:tcW w:type="dxa" w:w="1987"/>
            <w:shd w:fill="F8FAFC"/>
          </w:tcPr>
          <w:p>
            <w:pPr>
              <w:spacing w:after="40" w:before="40"/>
            </w:pPr>
            <w:r>
              <w:rPr>
                <w:rFonts w:ascii="Calibri" w:hAnsi="Calibri"/>
                <w:b/>
                <w:color w:val="0F172A"/>
              </w:rPr>
              <w:t>8,000+ Pantallas Digitales OXXO</w:t>
            </w:r>
          </w:p>
        </w:tc>
        <w:tc>
          <w:tcPr>
            <w:tcW w:type="dxa" w:w="1987"/>
            <w:shd w:fill="F8FAFC"/>
          </w:tcPr>
          <w:p>
            <w:pPr>
              <w:spacing w:after="40" w:before="40"/>
            </w:pPr>
            <w:r>
              <w:rPr>
                <w:rFonts w:ascii="Calibri" w:hAnsi="Calibri"/>
                <w:color w:val="334155"/>
                <w:sz w:val="22"/>
              </w:rPr>
              <w:t>[FEMSA Comunicado Oficial]</w:t>
            </w:r>
          </w:p>
        </w:tc>
        <w:tc>
          <w:tcPr>
            <w:tcW w:type="dxa" w:w="1987"/>
            <w:shd w:fill="F8FAFC"/>
          </w:tcPr>
          <w:p>
            <w:pPr>
              <w:spacing w:after="40" w:before="40"/>
            </w:pPr>
            <w:r>
              <w:rPr>
                <w:rFonts w:ascii="Calibri" w:hAnsi="Calibri"/>
                <w:b/>
                <w:color w:val="0F172A"/>
              </w:rPr>
              <w:t>Verificada (Primaria)</w:t>
            </w:r>
          </w:p>
        </w:tc>
        <w:tc>
          <w:tcPr>
            <w:tcW w:type="dxa" w:w="1987"/>
            <w:shd w:fill="F8FAFC"/>
          </w:tcPr>
          <w:p>
            <w:pPr>
              <w:spacing w:after="40" w:before="40"/>
            </w:pPr>
            <w:r>
              <w:rPr>
                <w:rFonts w:ascii="Calibri" w:hAnsi="Calibri"/>
                <w:color w:val="334155"/>
                <w:sz w:val="22"/>
              </w:rPr>
              <w:t>FEMSA comunica una red de +8,000 pantallas digitales con Place Exchange.</w:t>
            </w:r>
          </w:p>
        </w:tc>
        <w:tc>
          <w:tcPr>
            <w:tcW w:type="dxa" w:w="1987"/>
            <w:shd w:fill="F8FAFC"/>
          </w:tcPr>
          <w:p>
            <w:pPr>
              <w:spacing w:after="40" w:before="40"/>
            </w:pPr>
            <w:r>
              <w:rPr>
                <w:rFonts w:ascii="Calibri" w:hAnsi="Calibri"/>
                <w:color w:val="334155"/>
                <w:sz w:val="22"/>
              </w:rPr>
              <w:t>*"FEMSA comunica más de 8,000 pantallas digitales de OXXO en México; el CPM debe cotizarse con datos comerciales de Retina/Place Exchange."*</w:t>
            </w:r>
          </w:p>
        </w:tc>
      </w:tr>
      <w:tr>
        <w:tc>
          <w:tcPr>
            <w:tcW w:type="dxa" w:w="1987"/>
          </w:tcPr>
          <w:p>
            <w:pPr>
              <w:spacing w:after="40" w:before="40"/>
            </w:pPr>
            <w:r>
              <w:rPr>
                <w:rFonts w:ascii="Calibri" w:hAnsi="Calibri"/>
                <w:b/>
                <w:color w:val="0F172A"/>
              </w:rPr>
              <w:t>61% Abandono de Filas</w:t>
            </w:r>
          </w:p>
        </w:tc>
        <w:tc>
          <w:tcPr>
            <w:tcW w:type="dxa" w:w="1987"/>
          </w:tcPr>
          <w:p>
            <w:pPr>
              <w:spacing w:after="40" w:before="40"/>
            </w:pPr>
            <w:r>
              <w:rPr>
                <w:rFonts w:ascii="Calibri" w:hAnsi="Calibri"/>
                <w:color w:val="334155"/>
                <w:sz w:val="22"/>
              </w:rPr>
              <w:t>[Waitwhile Encuesta 2024]</w:t>
            </w:r>
          </w:p>
        </w:tc>
        <w:tc>
          <w:tcPr>
            <w:tcW w:type="dxa" w:w="1987"/>
          </w:tcPr>
          <w:p>
            <w:pPr>
              <w:spacing w:after="40" w:before="40"/>
            </w:pPr>
            <w:r>
              <w:rPr>
                <w:rFonts w:ascii="Calibri" w:hAnsi="Calibri"/>
                <w:b/>
                <w:color w:val="0F172A"/>
              </w:rPr>
              <w:t>Parcialmente Verificable</w:t>
            </w:r>
          </w:p>
        </w:tc>
        <w:tc>
          <w:tcPr>
            <w:tcW w:type="dxa" w:w="1987"/>
          </w:tcPr>
          <w:p>
            <w:pPr>
              <w:spacing w:after="40" w:before="40"/>
            </w:pPr>
            <w:r>
              <w:rPr>
                <w:rFonts w:ascii="Calibri" w:hAnsi="Calibri"/>
                <w:color w:val="334155"/>
                <w:sz w:val="22"/>
              </w:rPr>
              <w:t>Encuesta a 1,000 consumidores de retail en EE. UU.</w:t>
            </w:r>
          </w:p>
        </w:tc>
        <w:tc>
          <w:tcPr>
            <w:tcW w:type="dxa" w:w="1987"/>
          </w:tcPr>
          <w:p>
            <w:pPr>
              <w:spacing w:after="40" w:before="40"/>
            </w:pPr>
            <w:r>
              <w:rPr>
                <w:rFonts w:ascii="Calibri" w:hAnsi="Calibri"/>
                <w:color w:val="334155"/>
                <w:sz w:val="22"/>
              </w:rPr>
              <w:t>*"En una encuesta de consumidores estadounidenses de Waitwhile, 61% dijo haber abandonado una fila; se usa sólo como señal direccional, no como estimación para México."*</w:t>
            </w:r>
          </w:p>
        </w:tc>
      </w:tr>
      <w:tr>
        <w:tc>
          <w:tcPr>
            <w:tcW w:type="dxa" w:w="1987"/>
            <w:shd w:fill="F8FAFC"/>
          </w:tcPr>
          <w:p>
            <w:pPr>
              <w:spacing w:after="40" w:before="40"/>
            </w:pPr>
            <w:r>
              <w:rPr>
                <w:rFonts w:ascii="Calibri" w:hAnsi="Calibri"/>
                <w:b/>
                <w:color w:val="0F172A"/>
              </w:rPr>
              <w:t>47% de Quejas en Pagos/Atención</w:t>
            </w:r>
          </w:p>
        </w:tc>
        <w:tc>
          <w:tcPr>
            <w:tcW w:type="dxa" w:w="1987"/>
            <w:shd w:fill="F8FAFC"/>
          </w:tcPr>
          <w:p>
            <w:pPr>
              <w:spacing w:after="40" w:before="40"/>
            </w:pPr>
            <w:r>
              <w:rPr>
                <w:rFonts w:ascii="Calibri" w:hAnsi="Calibri"/>
                <w:color w:val="334155"/>
                <w:sz w:val="22"/>
              </w:rPr>
              <w:t>[Surtidores LATAM]</w:t>
            </w:r>
          </w:p>
        </w:tc>
        <w:tc>
          <w:tcPr>
            <w:tcW w:type="dxa" w:w="1987"/>
            <w:shd w:fill="F8FAFC"/>
          </w:tcPr>
          <w:p>
            <w:pPr>
              <w:spacing w:after="40" w:before="40"/>
            </w:pPr>
            <w:r>
              <w:rPr>
                <w:rFonts w:ascii="Calibri" w:hAnsi="Calibri"/>
                <w:b/>
                <w:color w:val="0F172A"/>
              </w:rPr>
              <w:t>Parcialmente Verificable</w:t>
            </w:r>
          </w:p>
        </w:tc>
        <w:tc>
          <w:tcPr>
            <w:tcW w:type="dxa" w:w="1987"/>
            <w:shd w:fill="F8FAFC"/>
          </w:tcPr>
          <w:p>
            <w:pPr>
              <w:spacing w:after="40" w:before="40"/>
            </w:pPr>
            <w:r>
              <w:rPr>
                <w:rFonts w:ascii="Calibri" w:hAnsi="Calibri"/>
                <w:color w:val="334155"/>
                <w:sz w:val="22"/>
              </w:rPr>
              <w:t>Análisis en 200 estaciones en Argentina.</w:t>
            </w:r>
          </w:p>
        </w:tc>
        <w:tc>
          <w:tcPr>
            <w:tcW w:type="dxa" w:w="1987"/>
            <w:shd w:fill="F8FAFC"/>
          </w:tcPr>
          <w:p>
            <w:pPr>
              <w:spacing w:after="40" w:before="40"/>
            </w:pPr>
            <w:r>
              <w:rPr>
                <w:rFonts w:ascii="Calibri" w:hAnsi="Calibri"/>
                <w:color w:val="334155"/>
                <w:sz w:val="22"/>
              </w:rPr>
              <w:t>*"Un análisis sectorial en Argentina atribuye 47% de las quejas a atención o pagos; debe validarse en México."*</w:t>
            </w:r>
          </w:p>
        </w:tc>
      </w:tr>
      <w:tr>
        <w:tc>
          <w:tcPr>
            <w:tcW w:type="dxa" w:w="1987"/>
          </w:tcPr>
          <w:p>
            <w:pPr>
              <w:spacing w:after="40" w:before="40"/>
            </w:pPr>
            <w:r>
              <w:rPr>
                <w:rFonts w:ascii="Calibri" w:hAnsi="Calibri"/>
                <w:b/>
                <w:color w:val="0F172A"/>
              </w:rPr>
              <w:t>Sinopec/LKS (-50% tiempo, +30% satisfacción)</w:t>
            </w:r>
          </w:p>
        </w:tc>
        <w:tc>
          <w:tcPr>
            <w:tcW w:type="dxa" w:w="1987"/>
          </w:tcPr>
          <w:p>
            <w:pPr>
              <w:spacing w:after="40" w:before="40"/>
            </w:pPr>
            <w:r>
              <w:rPr>
                <w:rFonts w:ascii="Calibri" w:hAnsi="Calibri"/>
                <w:color w:val="334155"/>
                <w:sz w:val="22"/>
              </w:rPr>
              <w:t>[LKS Kiosks Case Study]</w:t>
            </w:r>
          </w:p>
        </w:tc>
        <w:tc>
          <w:tcPr>
            <w:tcW w:type="dxa" w:w="1987"/>
          </w:tcPr>
          <w:p>
            <w:pPr>
              <w:spacing w:after="40" w:before="40"/>
            </w:pPr>
            <w:r>
              <w:rPr>
                <w:rFonts w:ascii="Calibri" w:hAnsi="Calibri"/>
                <w:b/>
                <w:color w:val="0F172A"/>
              </w:rPr>
              <w:t>Fuente Comercial (No Independiente)</w:t>
            </w:r>
          </w:p>
        </w:tc>
        <w:tc>
          <w:tcPr>
            <w:tcW w:type="dxa" w:w="1987"/>
          </w:tcPr>
          <w:p>
            <w:pPr>
              <w:spacing w:after="40" w:before="40"/>
            </w:pPr>
            <w:r>
              <w:rPr>
                <w:rFonts w:ascii="Calibri" w:hAnsi="Calibri"/>
                <w:color w:val="334155"/>
                <w:sz w:val="22"/>
              </w:rPr>
              <w:t>LKS publica el caso de éxito en la industria petroquímica.</w:t>
            </w:r>
          </w:p>
        </w:tc>
        <w:tc>
          <w:tcPr>
            <w:tcW w:type="dxa" w:w="1987"/>
          </w:tcPr>
          <w:p>
            <w:pPr>
              <w:spacing w:after="40" w:before="40"/>
            </w:pPr>
            <w:r>
              <w:rPr>
                <w:rFonts w:ascii="Calibri" w:hAnsi="Calibri"/>
                <w:color w:val="334155"/>
                <w:sz w:val="22"/>
              </w:rPr>
              <w:t>*"LKS reporta, en su caso publicado de Sinopec, una reducción de 50% en tiempo y mejora de 30% en satisfacción."*</w:t>
            </w:r>
          </w:p>
        </w:tc>
      </w:tr>
      <w:tr>
        <w:tc>
          <w:tcPr>
            <w:tcW w:type="dxa" w:w="1987"/>
            <w:shd w:fill="F8FAFC"/>
          </w:tcPr>
          <w:p>
            <w:pPr>
              <w:spacing w:after="40" w:before="40"/>
            </w:pPr>
            <w:r>
              <w:rPr>
                <w:rFonts w:ascii="Calibri" w:hAnsi="Calibri"/>
                <w:b/>
                <w:color w:val="0F172A"/>
              </w:rPr>
              <w:t>Vibra Brasil (80% aprobación de usuarios)</w:t>
            </w:r>
          </w:p>
        </w:tc>
        <w:tc>
          <w:tcPr>
            <w:tcW w:type="dxa" w:w="1987"/>
            <w:shd w:fill="F8FAFC"/>
          </w:tcPr>
          <w:p>
            <w:pPr>
              <w:spacing w:after="40" w:before="40"/>
            </w:pPr>
            <w:r>
              <w:rPr>
                <w:rFonts w:ascii="Calibri" w:hAnsi="Calibri"/>
                <w:color w:val="334155"/>
                <w:sz w:val="22"/>
              </w:rPr>
              <w:t>[Yuno Case Study]</w:t>
            </w:r>
          </w:p>
        </w:tc>
        <w:tc>
          <w:tcPr>
            <w:tcW w:type="dxa" w:w="1987"/>
            <w:shd w:fill="F8FAFC"/>
          </w:tcPr>
          <w:p>
            <w:pPr>
              <w:spacing w:after="40" w:before="40"/>
            </w:pPr>
            <w:r>
              <w:rPr>
                <w:rFonts w:ascii="Calibri" w:hAnsi="Calibri"/>
                <w:b/>
                <w:color w:val="0F172A"/>
              </w:rPr>
              <w:t>Fuente Corporativa</w:t>
            </w:r>
          </w:p>
        </w:tc>
        <w:tc>
          <w:tcPr>
            <w:tcW w:type="dxa" w:w="1987"/>
            <w:shd w:fill="F8FAFC"/>
          </w:tcPr>
          <w:p>
            <w:pPr>
              <w:spacing w:after="40" w:before="40"/>
            </w:pPr>
            <w:r>
              <w:rPr>
                <w:rFonts w:ascii="Calibri" w:hAnsi="Calibri"/>
                <w:color w:val="334155"/>
                <w:sz w:val="22"/>
              </w:rPr>
              <w:t>Yuno reporta la tasa de aprobación dentro de la app Premmia.</w:t>
            </w:r>
          </w:p>
        </w:tc>
        <w:tc>
          <w:tcPr>
            <w:tcW w:type="dxa" w:w="1987"/>
            <w:shd w:fill="F8FAFC"/>
          </w:tcPr>
          <w:p>
            <w:pPr>
              <w:spacing w:after="40" w:before="40"/>
            </w:pPr>
            <w:r>
              <w:rPr>
                <w:rFonts w:ascii="Calibri" w:hAnsi="Calibri"/>
                <w:color w:val="334155"/>
                <w:sz w:val="22"/>
              </w:rPr>
              <w:t>*"Yuno reporta que Vibra alcanzó 80% de aprobación de nuevos usuarios dentro de Premmia en Brasil."*</w:t>
            </w:r>
          </w:p>
        </w:tc>
      </w:tr>
      <w:tr>
        <w:tc>
          <w:tcPr>
            <w:tcW w:type="dxa" w:w="1987"/>
          </w:tcPr>
          <w:p>
            <w:pPr>
              <w:spacing w:after="40" w:before="40"/>
            </w:pPr>
            <w:r>
              <w:rPr>
                <w:rFonts w:ascii="Calibri" w:hAnsi="Calibri"/>
                <w:b/>
                <w:color w:val="0F172A"/>
              </w:rPr>
              <w:t>Mercado Pago + Calden Oil (-80% errores)</w:t>
            </w:r>
          </w:p>
        </w:tc>
        <w:tc>
          <w:tcPr>
            <w:tcW w:type="dxa" w:w="1987"/>
          </w:tcPr>
          <w:p>
            <w:pPr>
              <w:spacing w:after="40" w:before="40"/>
            </w:pPr>
            <w:r>
              <w:rPr>
                <w:rFonts w:ascii="Calibri" w:hAnsi="Calibri"/>
                <w:color w:val="334155"/>
                <w:sz w:val="22"/>
              </w:rPr>
              <w:t>*Sin fuente primaria localizada*</w:t>
            </w:r>
          </w:p>
        </w:tc>
        <w:tc>
          <w:tcPr>
            <w:tcW w:type="dxa" w:w="1987"/>
          </w:tcPr>
          <w:p>
            <w:pPr>
              <w:spacing w:after="40" w:before="40"/>
            </w:pPr>
            <w:r>
              <w:rPr>
                <w:rFonts w:ascii="Calibri" w:hAnsi="Calibri"/>
                <w:b/>
                <w:color w:val="0F172A"/>
              </w:rPr>
              <w:t>No Verificada</w:t>
            </w:r>
          </w:p>
        </w:tc>
        <w:tc>
          <w:tcPr>
            <w:tcW w:type="dxa" w:w="1987"/>
          </w:tcPr>
          <w:p>
            <w:pPr>
              <w:spacing w:after="40" w:before="40"/>
            </w:pPr>
            <w:r>
              <w:rPr>
                <w:rFonts w:ascii="Calibri" w:hAnsi="Calibri"/>
                <w:color w:val="334155"/>
                <w:sz w:val="22"/>
              </w:rPr>
              <w:t>La integración técnica QR/SmartPOS es factible.</w:t>
            </w:r>
          </w:p>
        </w:tc>
        <w:tc>
          <w:tcPr>
            <w:tcW w:type="dxa" w:w="1987"/>
          </w:tcPr>
          <w:p>
            <w:pPr>
              <w:spacing w:after="40" w:before="40"/>
            </w:pPr>
            <w:r>
              <w:rPr>
                <w:rFonts w:ascii="Calibri" w:hAnsi="Calibri"/>
                <w:color w:val="334155"/>
                <w:sz w:val="22"/>
              </w:rPr>
              <w:t>*"El caso se presenta como integración ilustrativa; no atribuirle un porcentaje de reducción de errores hasta localizar el comunicado u oficial."*</w:t>
            </w:r>
          </w:p>
        </w:tc>
      </w:tr>
      <w:tr>
        <w:tc>
          <w:tcPr>
            <w:tcW w:type="dxa" w:w="1987"/>
            <w:shd w:fill="F8FAFC"/>
          </w:tcPr>
          <w:p>
            <w:pPr>
              <w:spacing w:after="40" w:before="40"/>
            </w:pPr>
            <w:r>
              <w:rPr>
                <w:rFonts w:ascii="Calibri" w:hAnsi="Calibri"/>
                <w:b/>
                <w:color w:val="0F172A"/>
              </w:rPr>
              <w:t>ATIO / ControlGAS Líder de Mercado</w:t>
            </w:r>
          </w:p>
        </w:tc>
        <w:tc>
          <w:tcPr>
            <w:tcW w:type="dxa" w:w="1987"/>
            <w:shd w:fill="F8FAFC"/>
          </w:tcPr>
          <w:p>
            <w:pPr>
              <w:spacing w:after="40" w:before="40"/>
            </w:pPr>
            <w:r>
              <w:rPr>
                <w:rFonts w:ascii="Calibri" w:hAnsi="Calibri"/>
                <w:color w:val="334155"/>
                <w:sz w:val="22"/>
              </w:rPr>
              <w:t>[ATIO Group / Eventos]</w:t>
            </w:r>
          </w:p>
        </w:tc>
        <w:tc>
          <w:tcPr>
            <w:tcW w:type="dxa" w:w="1987"/>
            <w:shd w:fill="F8FAFC"/>
          </w:tcPr>
          <w:p>
            <w:pPr>
              <w:spacing w:after="40" w:before="40"/>
            </w:pPr>
            <w:r>
              <w:rPr>
                <w:rFonts w:ascii="Calibri" w:hAnsi="Calibri"/>
                <w:b/>
                <w:color w:val="0F172A"/>
              </w:rPr>
              <w:t>Parcialmente Verificable</w:t>
            </w:r>
          </w:p>
        </w:tc>
        <w:tc>
          <w:tcPr>
            <w:tcW w:type="dxa" w:w="1987"/>
            <w:shd w:fill="F8FAFC"/>
          </w:tcPr>
          <w:p>
            <w:pPr>
              <w:spacing w:after="40" w:before="40"/>
            </w:pPr>
            <w:r>
              <w:rPr>
                <w:rFonts w:ascii="Calibri" w:hAnsi="Calibri"/>
                <w:color w:val="334155"/>
                <w:sz w:val="22"/>
              </w:rPr>
              <w:t>Dominio histórico reconocido en el sector.</w:t>
            </w:r>
          </w:p>
        </w:tc>
        <w:tc>
          <w:tcPr>
            <w:tcW w:type="dxa" w:w="1987"/>
            <w:shd w:fill="F8FAFC"/>
          </w:tcPr>
          <w:p>
            <w:pPr>
              <w:spacing w:after="40" w:before="40"/>
            </w:pPr>
            <w:r>
              <w:rPr>
                <w:rFonts w:ascii="Calibri" w:hAnsi="Calibri"/>
                <w:color w:val="334155"/>
                <w:sz w:val="22"/>
              </w:rPr>
              <w:t>*"ControlGAS es un proveedor establecido y partner prioritario; su market share exacto se medirá con la base de datos CNE."*</w:t>
            </w:r>
          </w:p>
        </w:tc>
      </w:tr>
      <w:tr>
        <w:tc>
          <w:tcPr>
            <w:tcW w:type="dxa" w:w="1987"/>
          </w:tcPr>
          <w:p>
            <w:pPr>
              <w:spacing w:after="40" w:before="40"/>
            </w:pPr>
            <w:r>
              <w:rPr>
                <w:rFonts w:ascii="Calibri" w:hAnsi="Calibri"/>
                <w:b/>
                <w:color w:val="0F172A"/>
              </w:rPr>
              <w:t>Datos de Estaciones y Permisos CNE</w:t>
            </w:r>
          </w:p>
        </w:tc>
        <w:tc>
          <w:tcPr>
            <w:tcW w:type="dxa" w:w="1987"/>
          </w:tcPr>
          <w:p>
            <w:pPr>
              <w:spacing w:after="40" w:before="40"/>
            </w:pPr>
            <w:r>
              <w:rPr>
                <w:rFonts w:ascii="Calibri" w:hAnsi="Calibri"/>
                <w:color w:val="334155"/>
                <w:sz w:val="22"/>
              </w:rPr>
              <w:t>[Comisión Nacional de Energía]</w:t>
            </w:r>
          </w:p>
        </w:tc>
        <w:tc>
          <w:tcPr>
            <w:tcW w:type="dxa" w:w="1987"/>
          </w:tcPr>
          <w:p>
            <w:pPr>
              <w:spacing w:after="40" w:before="40"/>
            </w:pPr>
            <w:r>
              <w:rPr>
                <w:rFonts w:ascii="Calibri" w:hAnsi="Calibri"/>
                <w:b/>
                <w:color w:val="0F172A"/>
              </w:rPr>
              <w:t>Pendiente de Código Reproducible</w:t>
            </w:r>
          </w:p>
        </w:tc>
        <w:tc>
          <w:tcPr>
            <w:tcW w:type="dxa" w:w="1987"/>
          </w:tcPr>
          <w:p>
            <w:pPr>
              <w:spacing w:after="40" w:before="40"/>
            </w:pPr>
            <w:r>
              <w:rPr>
                <w:rFonts w:ascii="Calibri" w:hAnsi="Calibri"/>
                <w:color w:val="334155"/>
                <w:sz w:val="22"/>
              </w:rPr>
              <w:t>La CNE es la fuente oficial primaria.</w:t>
            </w:r>
          </w:p>
        </w:tc>
        <w:tc>
          <w:tcPr>
            <w:tcW w:type="dxa" w:w="1987"/>
          </w:tcPr>
          <w:p>
            <w:pPr>
              <w:spacing w:after="40" w:before="40"/>
            </w:pPr>
            <w:r>
              <w:rPr>
                <w:rFonts w:ascii="Calibri" w:hAnsi="Calibri"/>
                <w:color w:val="334155"/>
                <w:sz w:val="22"/>
              </w:rPr>
              <w:t>*"Según estimación preliminar a reproducir mediante script en la base abierta de la CNE al corte oficial..."*</w:t>
            </w:r>
          </w:p>
        </w:tc>
      </w:tr>
      <w:tr>
        <w:tc>
          <w:tcPr>
            <w:tcW w:type="dxa" w:w="1987"/>
            <w:shd w:fill="F8FAFC"/>
          </w:tcPr>
          <w:p>
            <w:pPr>
              <w:spacing w:after="40" w:before="40"/>
            </w:pPr>
            <w:r>
              <w:rPr>
                <w:rFonts w:ascii="Calibri" w:hAnsi="Calibri"/>
                <w:b/>
                <w:color w:val="0F172A"/>
              </w:rPr>
              <w:t>Márgenes por Litro por Marca</w:t>
            </w:r>
          </w:p>
        </w:tc>
        <w:tc>
          <w:tcPr>
            <w:tcW w:type="dxa" w:w="1987"/>
            <w:shd w:fill="F8FAFC"/>
          </w:tcPr>
          <w:p>
            <w:pPr>
              <w:spacing w:after="40" w:before="40"/>
            </w:pPr>
            <w:r>
              <w:rPr>
                <w:rFonts w:ascii="Calibri" w:hAnsi="Calibri"/>
                <w:color w:val="334155"/>
                <w:sz w:val="22"/>
              </w:rPr>
              <w:t>*Sin fuente pública auditada*</w:t>
            </w:r>
          </w:p>
        </w:tc>
        <w:tc>
          <w:tcPr>
            <w:tcW w:type="dxa" w:w="1987"/>
            <w:shd w:fill="F8FAFC"/>
          </w:tcPr>
          <w:p>
            <w:pPr>
              <w:spacing w:after="40" w:before="40"/>
            </w:pPr>
            <w:r>
              <w:rPr>
                <w:rFonts w:ascii="Calibri" w:hAnsi="Calibri"/>
                <w:b/>
                <w:color w:val="0F172A"/>
              </w:rPr>
              <w:t>No Verificada</w:t>
            </w:r>
          </w:p>
        </w:tc>
        <w:tc>
          <w:tcPr>
            <w:tcW w:type="dxa" w:w="1987"/>
            <w:shd w:fill="F8FAFC"/>
          </w:tcPr>
          <w:p>
            <w:pPr>
              <w:spacing w:after="40" w:before="40"/>
            </w:pPr>
            <w:r>
              <w:rPr>
                <w:rFonts w:ascii="Calibri" w:hAnsi="Calibri"/>
                <w:color w:val="334155"/>
                <w:sz w:val="22"/>
              </w:rPr>
              <w:t>Existe presión generalizada de costos en el sector.</w:t>
            </w:r>
          </w:p>
        </w:tc>
        <w:tc>
          <w:tcPr>
            <w:tcW w:type="dxa" w:w="1987"/>
            <w:shd w:fill="F8FAFC"/>
          </w:tcPr>
          <w:p>
            <w:pPr>
              <w:spacing w:after="40" w:before="40"/>
            </w:pPr>
            <w:r>
              <w:rPr>
                <w:rFonts w:ascii="Calibri" w:hAnsi="Calibri"/>
                <w:color w:val="334155"/>
                <w:sz w:val="22"/>
              </w:rPr>
              <w:t>*"La presión sobre la rentabilidad se demostrará con la cuenta de resultados (P&amp;L) de clientes piloto; no atribuir márgenes sin auditoría."*</w:t>
            </w:r>
          </w:p>
        </w:tc>
      </w:tr>
      <w:tr>
        <w:tc>
          <w:tcPr>
            <w:tcW w:type="dxa" w:w="1987"/>
          </w:tcPr>
          <w:p>
            <w:pPr>
              <w:spacing w:after="40" w:before="40"/>
            </w:pPr>
            <w:r>
              <w:rPr>
                <w:rFonts w:ascii="Calibri" w:hAnsi="Calibri"/>
                <w:b/>
                <w:color w:val="0F172A"/>
              </w:rPr>
              <w:t>ROI de 82% / +$855k Mensuales por Estación</w:t>
            </w:r>
          </w:p>
        </w:tc>
        <w:tc>
          <w:tcPr>
            <w:tcW w:type="dxa" w:w="1987"/>
          </w:tcPr>
          <w:p>
            <w:pPr>
              <w:spacing w:after="40" w:before="40"/>
            </w:pPr>
            <w:r>
              <w:rPr>
                <w:rFonts w:ascii="Calibri" w:hAnsi="Calibri"/>
                <w:color w:val="334155"/>
                <w:sz w:val="22"/>
              </w:rPr>
              <w:t>*Cálculo propio con supuestos*</w:t>
            </w:r>
          </w:p>
        </w:tc>
        <w:tc>
          <w:tcPr>
            <w:tcW w:type="dxa" w:w="1987"/>
          </w:tcPr>
          <w:p>
            <w:pPr>
              <w:spacing w:after="40" w:before="40"/>
            </w:pPr>
            <w:r>
              <w:rPr>
                <w:rFonts w:ascii="Calibri" w:hAnsi="Calibri"/>
                <w:b/>
                <w:color w:val="0F172A"/>
              </w:rPr>
              <w:t>Hipótesis Comercial (No Caso Base)</w:t>
            </w:r>
          </w:p>
        </w:tc>
        <w:tc>
          <w:tcPr>
            <w:tcW w:type="dxa" w:w="1987"/>
          </w:tcPr>
          <w:p>
            <w:pPr>
              <w:spacing w:after="40" w:before="40"/>
            </w:pPr>
            <w:r>
              <w:rPr>
                <w:rFonts w:ascii="Calibri" w:hAnsi="Calibri"/>
                <w:color w:val="334155"/>
                <w:sz w:val="22"/>
              </w:rPr>
              <w:t>Sirve como modelo de sensibilidad de variables.</w:t>
            </w:r>
          </w:p>
        </w:tc>
        <w:tc>
          <w:tcPr>
            <w:tcW w:type="dxa" w:w="1987"/>
          </w:tcPr>
          <w:p>
            <w:pPr>
              <w:spacing w:after="40" w:before="40"/>
            </w:pPr>
            <w:r>
              <w:rPr>
                <w:rFonts w:ascii="Calibri" w:hAnsi="Calibri"/>
                <w:color w:val="334155"/>
                <w:sz w:val="22"/>
              </w:rPr>
              <w:t>*"Hipótesis financiera sujeta a prueba en piloto, evaluando TCO, inversión en hardware, fill rate publicitario y T+1."*</w:t>
            </w:r>
          </w:p>
        </w:tc>
      </w:tr>
    </w:tbl>
    <w:p/>
    <w:p>
      <w:pPr>
        <w:spacing w:after="80"/>
      </w:pPr>
      <w:r>
        <w:rPr>
          <w:rFonts w:ascii="Calibri" w:hAnsi="Calibri"/>
          <w:color w:val="334155"/>
          <w:sz w:val="22"/>
        </w:rPr>
        <w:t>---</w:t>
      </w:r>
    </w:p>
    <w:p>
      <w:pPr>
        <w:keepNext/>
        <w:spacing w:before="240" w:after="120"/>
      </w:pPr>
      <w:r>
        <w:rPr>
          <w:rFonts w:ascii="Calibri" w:hAnsi="Calibri"/>
          <w:b/>
          <w:color w:val="2563EB"/>
          <w:sz w:val="32"/>
        </w:rPr>
        <w:t>🏛️ 3. Fuentes Primarias Reguladas para Fundamentación</w:t>
      </w:r>
    </w:p>
    <w:p>
      <w:pPr>
        <w:pStyle w:val="ListBullet"/>
        <w:spacing w:after="60"/>
      </w:pPr>
      <w:r>
        <w:rPr>
          <w:rFonts w:ascii="Calibri" w:hAnsi="Calibri"/>
          <w:b/>
          <w:color w:val="0F172A"/>
        </w:rPr>
        <w:t>SAT (Servicio de Administración Tributaria):</w:t>
      </w:r>
      <w:r>
        <w:rPr>
          <w:rFonts w:ascii="Calibri" w:hAnsi="Calibri"/>
          <w:color w:val="334155"/>
          <w:sz w:val="22"/>
        </w:rPr>
        <w:t xml:space="preserve"> Fundamenta la integración técnica obligatoria de controles volumétricos (Anexo 30) y timbrado CFDI de hidrocarburos.</w:t>
      </w:r>
    </w:p>
    <w:p>
      <w:pPr>
        <w:pStyle w:val="ListBullet"/>
        <w:spacing w:after="60"/>
      </w:pPr>
      <w:r>
        <w:rPr>
          <w:rFonts w:ascii="Calibri" w:hAnsi="Calibri"/>
          <w:b/>
          <w:color w:val="0F172A"/>
        </w:rPr>
        <w:t>CNE (Comisión Nacional de Energía):</w:t>
      </w:r>
      <w:r>
        <w:rPr>
          <w:rFonts w:ascii="Calibri" w:hAnsi="Calibri"/>
          <w:color w:val="334155"/>
          <w:sz w:val="22"/>
        </w:rPr>
        <w:t xml:space="preserve"> Fuente oficial para consultar el padrón de permisos vigentes, ubicación geográfica y volúmenes de expendio auditados.</w:t>
      </w:r>
    </w:p>
    <w:p>
      <w:pPr>
        <w:spacing w:after="80"/>
      </w:pPr>
      <w:r>
        <w:rPr>
          <w:rFonts w:ascii="Calibri" w:hAnsi="Calibri"/>
          <w:color w:val="334155"/>
          <w:sz w:val="22"/>
        </w:rPr>
        <w:t>---</w:t>
      </w:r>
    </w:p>
    <w:p>
      <w:pPr>
        <w:keepNext/>
        <w:spacing w:before="240" w:after="120"/>
      </w:pPr>
      <w:r>
        <w:rPr>
          <w:rFonts w:ascii="Calibri" w:hAnsi="Calibri"/>
          <w:b/>
          <w:color w:val="2563EB"/>
          <w:sz w:val="32"/>
        </w:rPr>
        <w:t>💡 4. Caja de Transparencia de Datos para el Pitch Ejecutivos</w:t>
      </w:r>
    </w:p>
    <w:p>
      <w:pPr>
        <w:spacing w:before="80" w:after="80"/>
        <w:ind w:left="576"/>
      </w:pPr>
      <w:r>
        <w:rPr>
          <w:rFonts w:ascii="Calibri" w:hAnsi="Calibri"/>
          <w:i/>
          <w:color w:val="475569"/>
        </w:rPr>
        <w:t>**Nota Metodológica:** Las cifras de impacto de kioscos de LKS/Sinopec, datos de filas de Waitwhile y pronósticos de mercado son benchmarks de referencia externos. No representan resultados garantizados de PayMind ni proyecciones auditadas de México. Las metas comerciales de PayMind se validarán mediante pruebas piloto con línea base real por estación y posición de carga.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