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</w:pPr>
      <w:r>
        <w:rPr>
          <w:rFonts w:ascii="Calibri" w:hAnsi="Calibri"/>
          <w:b/>
          <w:color w:val="0F172A"/>
          <w:sz w:val="40"/>
        </w:rPr>
        <w:t>🚀 ANÁLISIS ESTRATÉGICO: PAYMIND COMO CAPA DE INFRAESTRUCTURA Y MONETIZACIÓN DE KIOSKOS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**Basado en la investigación de mercado Perplexity AI (Contexto México 2026)**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**Para:** Antonio Gutiérrez | Consultor de Crecimiento &amp; Pagos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**Enfoque:** Complejidad B2B, Posicionamiento de Infraestructura, Monetización del Tiempo de Carga (Retail Media) y Eficiencia en Bomba.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📌 1. El Diagnóstico del Sector Gasolinero en México (2026)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Compresión Extrema de Márgenes:</w:t>
      </w:r>
      <w:r>
        <w:rPr>
          <w:rFonts w:ascii="Calibri" w:hAnsi="Calibri"/>
          <w:color w:val="334155"/>
          <w:sz w:val="22"/>
        </w:rPr>
        <w:t xml:space="preserve"> El margen de utilidad bruta por litro de combustible en México se ha comprimido a </w:t>
      </w:r>
      <w:r>
        <w:rPr>
          <w:rFonts w:ascii="Calibri" w:hAnsi="Calibri"/>
          <w:b/>
          <w:color w:val="0F172A"/>
        </w:rPr>
        <w:t>1% o menos</w:t>
      </w:r>
      <w:r>
        <w:rPr>
          <w:rFonts w:ascii="Calibri" w:hAnsi="Calibri"/>
          <w:color w:val="334155"/>
          <w:sz w:val="22"/>
        </w:rPr>
        <w:t xml:space="preserve"> ($1.60 a $2.40 MXN/litro). La gasolina ya no deja dinero por sí sola; los grupos necesitan urgentemente </w:t>
      </w:r>
      <w:r>
        <w:rPr>
          <w:rFonts w:ascii="Calibri" w:hAnsi="Calibri"/>
          <w:b/>
          <w:color w:val="0F172A"/>
        </w:rPr>
        <w:t>vías no-combustible de monetización</w:t>
      </w:r>
      <w:r>
        <w:rPr>
          <w:rFonts w:ascii="Calibri" w:hAnsi="Calibri"/>
          <w:color w:val="334155"/>
          <w:sz w:val="22"/>
        </w:rPr>
        <w:t xml:space="preserve"> (tiendas de conveniencia, publicidad, servicios bancarios).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Fuga de Clientes por Filas en Horas Pico:</w:t>
      </w:r>
      <w:r>
        <w:rPr>
          <w:rFonts w:ascii="Calibri" w:hAnsi="Calibri"/>
          <w:color w:val="334155"/>
          <w:sz w:val="22"/>
        </w:rPr>
        <w:t xml:space="preserve"> Una estación promedio en México atiende </w:t>
      </w:r>
      <w:r>
        <w:rPr>
          <w:rFonts w:ascii="Calibri" w:hAnsi="Calibri"/>
          <w:b/>
          <w:color w:val="0F172A"/>
        </w:rPr>
        <w:t>~370 vehículos/día</w:t>
      </w:r>
      <w:r>
        <w:rPr>
          <w:rFonts w:ascii="Calibri" w:hAnsi="Calibri"/>
          <w:color w:val="334155"/>
          <w:sz w:val="22"/>
        </w:rPr>
        <w:t xml:space="preserve"> (~11,115 litros/día). Durante horas pico (6:00-9:00 AM y 5:00-9:00 PM), el 20% al 25% de los conductores abandona la fila o no entra debido a la lentitud del cobro manual, lo que representa una </w:t>
      </w:r>
      <w:r>
        <w:rPr>
          <w:rFonts w:ascii="Calibri" w:hAnsi="Calibri"/>
          <w:b/>
          <w:color w:val="0F172A"/>
        </w:rPr>
        <w:t>pérdida estimada de $50,000 a $78,000 MXN mensuales en ventas no realizadas por estación</w:t>
      </w:r>
      <w:r>
        <w:rPr>
          <w:rFonts w:ascii="Calibri" w:hAnsi="Calibri"/>
          <w:color w:val="334155"/>
          <w:sz w:val="22"/>
        </w:rPr>
        <w:t>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Cumplimiento Fiscal Estricto (SAT Anexo 30 / CFDI 4.0):</w:t>
      </w:r>
      <w:r>
        <w:rPr>
          <w:rFonts w:ascii="Calibri" w:hAnsi="Calibri"/>
          <w:color w:val="334155"/>
          <w:sz w:val="22"/>
        </w:rPr>
        <w:t xml:space="preserve"> Desde 2026, la fiscalización de volumen y el timbrado de CFDI de hidrocarburos es 100% obligatorio, lo que invalida cualquier cobro "desconectado" del dispensario.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🏗️ 2. Re-Posicionamiento Clave: Infraestructura, NO Proveedor de Terminales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PayMind </w:t>
      </w:r>
      <w:r>
        <w:rPr>
          <w:rFonts w:ascii="Calibri" w:hAnsi="Calibri"/>
          <w:b/>
          <w:color w:val="0F172A"/>
        </w:rPr>
        <w:t>NO debe venderse como "otra terminal más"</w:t>
      </w:r>
      <w:r>
        <w:rPr>
          <w:rFonts w:ascii="Calibri" w:hAnsi="Calibri"/>
          <w:color w:val="334155"/>
          <w:sz w:val="22"/>
        </w:rPr>
        <w:t xml:space="preserve"> o un revendedor de POS (compitiendo con Getnet o Mercado Pago).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PayMind debe posicionarse como la </w:t>
      </w:r>
      <w:r>
        <w:rPr>
          <w:rFonts w:ascii="Calibri" w:hAnsi="Calibri"/>
          <w:b/>
          <w:color w:val="0F172A"/>
        </w:rPr>
        <w:t>Capa de Interoperabilidad e Infraestructura de Pagos</w:t>
      </w:r>
      <w:r>
        <w:rPr>
          <w:rFonts w:ascii="Calibri" w:hAnsi="Calibri"/>
          <w:color w:val="334155"/>
          <w:sz w:val="22"/>
        </w:rPr>
        <w:t xml:space="preserve"> que une todo el stack tecnológico de la gasolinera:</w:t>
      </w:r>
    </w:p>
    <w:p>
      <w:pPr>
        <w:spacing w:after="80"/>
      </w:pPr>
      <w:r>
        <w:rPr>
          <w:rFonts w:ascii="Consolas" w:hAnsi="Consolas"/>
          <w:color w:val="E11D48"/>
          <w:sz w:val="19"/>
        </w:rPr>
      </w:r>
      <w:r>
        <w:rPr>
          <w:rFonts w:ascii="Consolas" w:hAnsi="Consolas"/>
          <w:color w:val="E11D48"/>
          <w:sz w:val="19"/>
        </w:rPr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│                       STACK TECNOLÓGICO GASOLINERO                          │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│ 1. SOFTWARE VOLUMÉTRICO  ➔ ControlGAS (ATIO), eGas, NexusFuel, Intelisis    │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│ 2. INFRAESTRUCTURA PAYMIND ➔ Pasarela Multi-Adquirente (BBVA, BanBajío)    │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│ 3. HARDWARE EN ISLA/BOMBA  ➔ SmartPOS Nexgo ATEX + Kioskos Autocobro       │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│ 4. MONETIZACIÓN ADYACENTE  ➔ Retail Media (Ads), Lealtad y Facturación CFDI  │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80"/>
      </w:pPr>
      <w:r>
        <w:rPr>
          <w:rFonts w:ascii="Consolas" w:hAnsi="Consolas"/>
          <w:color w:val="E11D48"/>
          <w:sz w:val="19"/>
        </w:rPr>
      </w:r>
      <w:r>
        <w:rPr>
          <w:rFonts w:ascii="Consolas" w:hAnsi="Consolas"/>
          <w:color w:val="E11D48"/>
          <w:sz w:val="19"/>
        </w:rPr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Principio de Autonomía (Capas Decopladas):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PayMind NUNCA vende ni revende Hardware:</w:t>
      </w:r>
      <w:r>
        <w:rPr>
          <w:rFonts w:ascii="Calibri" w:hAnsi="Calibri"/>
          <w:color w:val="334155"/>
          <w:sz w:val="22"/>
        </w:rPr>
        <w:t xml:space="preserve"> Proveedores como Gilbarco, Dover Fueling, LKS o Glory facturan los kioskos y recicladoras directamente al cliente.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PayMind cobrara Exclusivamente:</w:t>
      </w:r>
      <w:r>
        <w:rPr>
          <w:rFonts w:ascii="Calibri" w:hAnsi="Calibri"/>
          <w:color w:val="334155"/>
          <w:sz w:val="22"/>
        </w:rPr>
        <w:t xml:space="preserve"> Licencia de Software SaaS/API por estación + Comisión por transacción de adquirencia abierta.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⚡ 3. La Palanca del "Momento WOW": Kioskos de Autocobro &amp; Retail Media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El tiempo de espera de un conductor durante la carga de gasolina (2 a 5 minutos) es el </w:t>
      </w:r>
      <w:r>
        <w:rPr>
          <w:rFonts w:ascii="Calibri" w:hAnsi="Calibri"/>
          <w:b/>
          <w:color w:val="0F172A"/>
        </w:rPr>
        <w:t>activo publicitario menos explotado de México</w:t>
      </w:r>
      <w:r>
        <w:rPr>
          <w:rFonts w:ascii="Calibri" w:hAnsi="Calibri"/>
          <w:color w:val="334155"/>
          <w:sz w:val="22"/>
        </w:rPr>
        <w:t>.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A. Impacto Operativo del Kiosko de Autocobro (Benchmark Sinopec + LKS):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Reducción de Tiempo de Abastecimiento:</w:t>
      </w:r>
      <w:r>
        <w:rPr>
          <w:rFonts w:ascii="Calibri" w:hAnsi="Calibri"/>
          <w:color w:val="334155"/>
          <w:sz w:val="22"/>
        </w:rPr>
        <w:t xml:space="preserve"> -50% por vehículo (atención fluida en pista).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Ahorro en Nómina/Caja:</w:t>
      </w:r>
      <w:r>
        <w:rPr>
          <w:rFonts w:ascii="Calibri" w:hAnsi="Calibri"/>
          <w:color w:val="334155"/>
          <w:sz w:val="22"/>
        </w:rPr>
        <w:t xml:space="preserve"> Reducción de 1 a 2 cajeros por turno ($15,000 a $25,000 MXN/mes ahorrados por estación).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Operación Nocturna 24/7:</w:t>
      </w:r>
      <w:r>
        <w:rPr>
          <w:rFonts w:ascii="Calibri" w:hAnsi="Calibri"/>
          <w:color w:val="334155"/>
          <w:sz w:val="22"/>
        </w:rPr>
        <w:t xml:space="preserve"> Cobro continuo sin riesgos de robo o costos adicionales de personal.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B. Monetización del Tiempo de Carga (Retail Media Ads):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Siguiendo el modelo exitoso de </w:t>
      </w:r>
      <w:r>
        <w:rPr>
          <w:rFonts w:ascii="Calibri" w:hAnsi="Calibri"/>
          <w:b/>
          <w:color w:val="0F172A"/>
        </w:rPr>
        <w:t>OXXO (Retina Media / Place Exchange)</w:t>
      </w:r>
      <w:r>
        <w:rPr>
          <w:rFonts w:ascii="Calibri" w:hAnsi="Calibri"/>
          <w:color w:val="334155"/>
          <w:sz w:val="22"/>
        </w:rPr>
        <w:t xml:space="preserve"> con más de 8,000 pantallas digitales en México: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Formato:</w:t>
      </w:r>
      <w:r>
        <w:rPr>
          <w:rFonts w:ascii="Calibri" w:hAnsi="Calibri"/>
          <w:color w:val="334155"/>
          <w:sz w:val="22"/>
        </w:rPr>
        <w:t xml:space="preserve"> Pantalla interactiva en la bomba/kiosko mientras la manguera despacha.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Métrica CPM:</w:t>
      </w:r>
      <w:r>
        <w:rPr>
          <w:rFonts w:ascii="Calibri" w:hAnsi="Calibri"/>
          <w:color w:val="334155"/>
          <w:sz w:val="22"/>
        </w:rPr>
        <w:t xml:space="preserve"> $50 a $150 MXN por cada 1,000 impresiones publicitarias.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Potencial por Estación:</w:t>
      </w:r>
      <w:r>
        <w:rPr>
          <w:rFonts w:ascii="Calibri" w:hAnsi="Calibri"/>
          <w:color w:val="334155"/>
          <w:sz w:val="22"/>
        </w:rPr>
        <w:t xml:space="preserve"> Una estación con 300 vehículos/día genera ~9,000 impresiones/mes. Un grupo de 10 estaciones genera ingresos publicitarios adicionales de </w:t>
      </w:r>
      <w:r>
        <w:rPr>
          <w:rFonts w:ascii="Calibri" w:hAnsi="Calibri"/>
          <w:b/>
          <w:color w:val="0F172A"/>
        </w:rPr>
        <w:t>$45,000 a $135,000 MXN/mes</w:t>
      </w:r>
      <w:r>
        <w:rPr>
          <w:rFonts w:ascii="Calibri" w:hAnsi="Calibri"/>
          <w:color w:val="334155"/>
          <w:sz w:val="22"/>
        </w:rPr>
        <w:t xml:space="preserve"> repartidos entre la gasolinera y PayMind.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📊 4. Caso de Negocio Comparativo para la Gasolinera (ROI)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Concepto Financiero</w:t>
            </w:r>
          </w:p>
        </w:tc>
        <w:tc>
          <w:tcPr>
            <w:tcW w:type="dxa" w:w="3312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🔴 Operación Manual Tradicional</w:t>
            </w:r>
          </w:p>
        </w:tc>
        <w:tc>
          <w:tcPr>
            <w:tcW w:type="dxa" w:w="3312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🟢 Con Infraestructura PayMind + Kiosko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Vehículos Atendidos/Día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250 vehículos (Pérdida por filas)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300 vehículos (+20% por fluidez)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Ticket Promedio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$350 MXN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$380 MXN (Upsell en pantalla)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Errores de Tecleo / Discrepancia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4.2% de transacciones con error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0% (Monto enviado por bomba)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Ahorro en Nómina de Caja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$0 MXN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+$18,000 MXN/mes por turno nocturno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Ingresos por Retail Media (Ads)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$0 MXN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+$45,000 a $90,000 MXN/mes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Costo Mensual PayMind (SaaS)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$0 MXN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-$6,000 MXN/mes por estación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Impacto Neto Mensual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Límite de Margen 1%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+$35,000 a $85,000 MXN Incrementales/mes</w:t>
            </w:r>
          </w:p>
        </w:tc>
      </w:tr>
    </w:tbl>
    <w:p/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🗺️ 5. Hoja de Ruta de Implementación Sugerida</w:t>
      </w:r>
    </w:p>
    <w:p>
      <w:pPr>
        <w:pStyle w:val="ListNumber"/>
        <w:spacing w:after="60"/>
      </w:pPr>
      <w:r>
        <w:rPr>
          <w:rFonts w:ascii="Calibri" w:hAnsi="Calibri"/>
          <w:b/>
          <w:color w:val="0F172A"/>
        </w:rPr>
        <w:t>Fase 1 (Meses 0-3):</w:t>
      </w:r>
      <w:r>
        <w:rPr>
          <w:rFonts w:ascii="Calibri" w:hAnsi="Calibri"/>
          <w:color w:val="334155"/>
          <w:sz w:val="22"/>
        </w:rPr>
        <w:t xml:space="preserve"> Alianza de Distribución API con Softwares Volométricos (eGas, NexusFuel, Gasomarshal).</w:t>
      </w:r>
    </w:p>
    <w:p>
      <w:pPr>
        <w:pStyle w:val="ListNumber"/>
        <w:spacing w:after="60"/>
      </w:pPr>
      <w:r>
        <w:rPr>
          <w:rFonts w:ascii="Calibri" w:hAnsi="Calibri"/>
          <w:b/>
          <w:color w:val="0F172A"/>
        </w:rPr>
        <w:t>Fase 2 (Meses 3-6):</w:t>
      </w:r>
      <w:r>
        <w:rPr>
          <w:rFonts w:ascii="Calibri" w:hAnsi="Calibri"/>
          <w:color w:val="334155"/>
          <w:sz w:val="22"/>
        </w:rPr>
        <w:t xml:space="preserve"> Piloto de Cobro Inalámbrico en Bomba con SmartPOS Nexgo ATEX en 20 estaciones de Grupos Regionales.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3. </w:t>
      </w:r>
      <w:r>
        <w:rPr>
          <w:rFonts w:ascii="Calibri" w:hAnsi="Calibri"/>
          <w:b/>
          <w:color w:val="0F172A"/>
        </w:rPr>
        <w:t>Fase 3 (Meses 6-12):</w:t>
      </w:r>
      <w:r>
        <w:rPr>
          <w:rFonts w:ascii="Calibri" w:hAnsi="Calibri"/>
          <w:color w:val="334155"/>
          <w:sz w:val="22"/>
        </w:rPr>
        <w:t xml:space="preserve"> Integración de Módulo Kiosko Autocobro con integradores de Hardware (Gilbarco / LKS) + Lanzamiento de Red publicitaria Retail Media.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