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Auditoría sobre la Cifra de Posicionamiento de NetPay (FEMSA) en Gasolineras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Resumen Ejecutivo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No está comprobado por fuentes independientes que </w:t>
      </w:r>
      <w:r>
        <w:rPr>
          <w:rFonts w:ascii="Calibri" w:hAnsi="Calibri"/>
          <w:b/>
          <w:color w:val="0F172A"/>
        </w:rPr>
        <w:t>NetPay (FEMSA)</w:t>
      </w:r>
      <w:r>
        <w:rPr>
          <w:rFonts w:ascii="Calibri" w:hAnsi="Calibri"/>
          <w:color w:val="334155"/>
          <w:sz w:val="22"/>
        </w:rPr>
        <w:t xml:space="preserve"> tenga exactamente el 13% de las gasolineras de México.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La cifra proviene de una declaración periodística atribuida a Matías Garrido (directivo de NetPay) en *El CEO*, donde refirió presencia en aproximadamente 1,700 estaciones de servicio. Sin embargo, el </w:t>
      </w:r>
      <w:r>
        <w:rPr>
          <w:rFonts w:ascii="Calibri" w:hAnsi="Calibri"/>
          <w:b/>
          <w:color w:val="0F172A"/>
        </w:rPr>
        <w:t>comunicado oficial de FEMSA</w:t>
      </w:r>
      <w:r>
        <w:rPr>
          <w:rFonts w:ascii="Calibri" w:hAnsi="Calibri"/>
          <w:color w:val="334155"/>
          <w:sz w:val="22"/>
        </w:rPr>
        <w:t xml:space="preserve"> no menciona la cifra de 1,700 ni el porcentaje del 13%.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📊 1. Desglose Matemático y Denominadores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Si se toma el denominador oficial de </w:t>
      </w:r>
      <w:r>
        <w:rPr>
          <w:rFonts w:ascii="Calibri" w:hAnsi="Calibri"/>
          <w:b/>
          <w:color w:val="0F172A"/>
        </w:rPr>
        <w:t>14,000 estaciones de servicio</w:t>
      </w:r>
      <w:r>
        <w:rPr>
          <w:rFonts w:ascii="Calibri" w:hAnsi="Calibri"/>
          <w:color w:val="334155"/>
          <w:sz w:val="22"/>
        </w:rPr>
        <w:t xml:space="preserve"> en México (reportado en *El Cronista*):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$$\text{Participación Real} = \frac{1,700 \text{ estaciones}}{14,000 \text{ estaciones}} = 12.14\%$$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Redondeo a porcentaje entero: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12%</w:t>
      </w:r>
      <w:r>
        <w:rPr>
          <w:rFonts w:ascii="Calibri" w:hAnsi="Calibri"/>
          <w:color w:val="334155"/>
          <w:sz w:val="22"/>
        </w:rPr>
        <w:t>, no 13%.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La cifra del 13% implicaría un universo menor (~13,077 estaciones) o un conteo no especificado.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Sin fecha de corte, auditoría independiente o definición clara de "presencia" (¿terminales instaladas, contratos vigentes o volumen procesado?), presentar la cifra como cuota de mercado comprobada violaría el </w:t>
      </w:r>
      <w:r>
        <w:rPr>
          <w:rFonts w:ascii="Calibri" w:hAnsi="Calibri"/>
          <w:b/>
          <w:color w:val="0F172A"/>
        </w:rPr>
        <w:t>Protocolo Zero-Assumption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💬 2. Recomendación de Redacción para Materiales de PayMind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Versión Completa (Documentos Técnicos y Pitch Decks):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*"NetPay ha comunicado una presencia aproximada en 1,700 estaciones de servicio en México según declaraciones públicas de sus directivos. Sin embargo, no encontramos un dato público auditado e independiente que permita confirmar esa participación o su denominador exacto."*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Versión Breve (Presentación Comercial C-Level / Eventos):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*"NetPay comunica presencia en aproximadamente 1,700 estaciones de servicio en México; la cuota de mercado exacta no está públicamente comprobada por terceros."*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🛡️ 3. Regla de Oro para el GTM de PayMind</w:t>
      </w:r>
    </w:p>
    <w:p>
      <w:pPr>
        <w:spacing w:after="80"/>
      </w:pPr>
      <w:r>
        <w:rPr>
          <w:rFonts w:ascii="Calibri" w:hAnsi="Calibri"/>
          <w:b/>
          <w:color w:val="0F172A"/>
        </w:rPr>
        <w:t>NUNCA</w:t>
      </w:r>
      <w:r>
        <w:rPr>
          <w:rFonts w:ascii="Calibri" w:hAnsi="Calibri"/>
          <w:color w:val="334155"/>
          <w:sz w:val="22"/>
        </w:rPr>
        <w:t xml:space="preserve"> usar *"NetPay está en el 13% de las gasolineras"* como un hecho comprobado. Usar únicamente *"aproximadamente 1,700 estaciones según declaraciones públicas de NetPay"*, dejando en claro la distinción entre un </w:t>
      </w:r>
      <w:r>
        <w:rPr>
          <w:rFonts w:ascii="Calibri" w:hAnsi="Calibri"/>
          <w:b/>
          <w:color w:val="0F172A"/>
        </w:rPr>
        <w:t>dato declarado por la empresa</w:t>
      </w:r>
      <w:r>
        <w:rPr>
          <w:rFonts w:ascii="Calibri" w:hAnsi="Calibri"/>
          <w:color w:val="334155"/>
          <w:sz w:val="22"/>
        </w:rPr>
        <w:t xml:space="preserve"> y una </w:t>
      </w:r>
      <w:r>
        <w:rPr>
          <w:rFonts w:ascii="Calibri" w:hAnsi="Calibri"/>
          <w:b/>
          <w:color w:val="0F172A"/>
        </w:rPr>
        <w:t>medición independiente auditada</w:t>
      </w:r>
      <w:r>
        <w:rPr>
          <w:rFonts w:ascii="Calibri" w:hAnsi="Calibri"/>
          <w:color w:val="334155"/>
          <w:sz w:val="22"/>
        </w:rP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