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🎯 ESTRATEGIA DE FOCO A 90 DÍAS: CASO ORSAN Y EJECUCIÓN REGIONAL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**Versión de Alta Dirección — 27 de agosto de 2026**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**Autor:** Antonio Gutiérrez | Consultor de Crecimiento &amp; Pagos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**Propósito:** Eliminar la parálisis por análisis, sustituir la dispersión táctica por una sola apuesta de alto impacto y proteger la posición comercial de Antonio en PayMind.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💥 1. Diagnóstico de Realidad: De la Fantasía al Cierre Real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El Riesgo de la Dispersión Táctica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Proponer 5 servicios simultáneos (Control volumétrico + Kioskos + Retail Media + Lealtad + Anticipos de flujo) en 4 frentes paralelos (Bancos + ERPs + Integradores + Gremios) suena impresionante en un documento, pero </w:t>
      </w:r>
      <w:r>
        <w:rPr>
          <w:rFonts w:ascii="Calibri" w:hAnsi="Calibri"/>
          <w:b/>
          <w:color w:val="0F172A"/>
        </w:rPr>
        <w:t>muere en la ejecución real</w:t>
      </w:r>
      <w:r>
        <w:rPr>
          <w:rFonts w:ascii="Calibri" w:hAnsi="Calibri"/>
          <w:color w:val="334155"/>
          <w:sz w:val="22"/>
        </w:rPr>
        <w:t>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Si la posición de Antonio en PayMind depende de traer resultados rápidos, intentar abarcar todo con recursos limitados garantiza no profundizar en ninguno antes de que la Dirección pregunte: *“¿Y los ingresos reales dónde están?”*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🎯 2. La Única Apuesta Concentrada (Plan de 90 Días)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En lugar de lanzar una campaña masiva desenfocada, la estrategia ganadora consiste en: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                APUESTA ÚNICA Y SECUENCIAL EN 30-60-90 DÍAS            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1. MES 1 ➔ Extraer la Evidencia Interna Real del Caso Grupo ORSAN (Mobil)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2. MES 2 ➔ Amarrar 1 solo Software Volumétrico Regional (eGas o Nexus) 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3. MES 3 ➔ Dominar 1 solo Clúster Geográfico (Ej. Sureste / Península)  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📊 3. Los 4 Bloques de Datos Internos del Caso ORSAN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Para tener referencia real interna (no para el pitch abstracto), Antonio necesita auditarlos en el sistema: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Bloque 1: Operación y Adopción Real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Transacciones/día procesadas en bombas ORSAN.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% de volumen por autocobro vs. cobro asistido con despachador.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Ticket promedio en autocobro vs. tradicional.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Curva de adopción semanal y franjas horarias de mayor uso.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Bloque 2: Calidad Técnica vs. Competencia (NetPay)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Tasa de aprobación transaccional real</w:t>
      </w:r>
      <w:r>
        <w:rPr>
          <w:rFonts w:ascii="Calibri" w:hAnsi="Calibri"/>
          <w:color w:val="334155"/>
          <w:sz w:val="22"/>
        </w:rPr>
        <w:t xml:space="preserve"> (comparada contra el 98% que presume la competencia).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Tasa de fallas de integración con el software volumétrico.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Tiempo de respuesta punta a punta (desde que se inserta la tarjeta hasta que el dispensario autoriza).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Incidencias mensuales y tiempo de resolución de soporte.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Bloque 3: Impacto Financiero en la Estación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Tiempo de despacho por vehículo (antes vs. después).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Vehículos atendidos por hora en picos de tráfico.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Reducción o reasignación real de costo laboral en caja.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Testimonial / Cita textual del cliente</w:t>
      </w:r>
      <w:r>
        <w:rPr>
          <w:rFonts w:ascii="Calibri" w:hAnsi="Calibri"/>
          <w:color w:val="334155"/>
          <w:sz w:val="22"/>
        </w:rPr>
        <w:t xml:space="preserve"> (Vale más que cualquier estadística genérica).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Bloque 4: Economía de la Implementación &amp; Margen Net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Costo real de hardware + instalación + integración por estación.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Tiempo real de despliegue de la primera a la última estación.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Margen neto de PayMind por estación activa</w:t>
      </w:r>
      <w:r>
        <w:rPr>
          <w:rFonts w:ascii="Calibri" w:hAnsi="Calibri"/>
          <w:color w:val="334155"/>
          <w:sz w:val="22"/>
        </w:rPr>
        <w:t xml:space="preserve"> libre de soporte.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💬 4. Discurso Directo para la Dirección General de PayMind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**“Antes de vender una estrategia de alianzas a nivel nacional o gastar en agencias externas, necesito 30 días y acceso a los datos operativos reales del caso ORSAN. Sin eso, estamos vendiendo una hipótesis con el nombre de un caso real pegado encima.**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&gt;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**Con la evidencia empírica de ORSAN en la mano, ameritamos 1 software volumétrico de independientes y cerramos el clúster regional en 90 días con cero especulación.”**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