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⏱️ Bitácora Ejecutiva: Ramping de New Hire, "Afilar el Hacha" y Tiempos del Embudo (PayMind)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**Documento de Telemetría Comercial, Time-to-Value (TTV) y Playbook de Onboarding para la Célula de Growth**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**Autor:** Antonio Gutiérrez — Estrategia Comercial &amp; RevOps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**Fecha de Inicio de Registro:** Agosto 2026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📌 1. Propósito Estratégico de la Bitácora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Este documento registra empíricamente el tiempo, esfuerzo y pasos metodológicos desde el </w:t>
      </w:r>
      <w:r>
        <w:rPr>
          <w:rFonts w:ascii="Calibri" w:hAnsi="Calibri"/>
          <w:b/>
          <w:color w:val="0F172A"/>
        </w:rPr>
        <w:t>Día 1 de Onboarding (New Hire)</w:t>
      </w:r>
      <w:r>
        <w:rPr>
          <w:rFonts w:ascii="Calibri" w:hAnsi="Calibri"/>
          <w:color w:val="334155"/>
          <w:sz w:val="22"/>
        </w:rPr>
        <w:t xml:space="preserve"> hasta la generación de </w:t>
      </w:r>
      <w:r>
        <w:rPr>
          <w:rFonts w:ascii="Calibri" w:hAnsi="Calibri"/>
          <w:b/>
          <w:color w:val="0F172A"/>
        </w:rPr>
        <w:t>Revenue Facturado en PayMind</w:t>
      </w:r>
      <w:r>
        <w:rPr>
          <w:rFonts w:ascii="Calibri" w:hAnsi="Calibri"/>
          <w:color w:val="334155"/>
          <w:sz w:val="22"/>
        </w:rP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Objetivos Principales: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Medir el Time-to-Value (TTV):</w:t>
      </w:r>
      <w:r>
        <w:rPr>
          <w:rFonts w:ascii="Calibri" w:hAnsi="Calibri"/>
          <w:color w:val="334155"/>
          <w:sz w:val="22"/>
        </w:rPr>
        <w:t xml:space="preserve"> Cuántos días toma pasar de investigación de mercado a la primera campaña saliente en producción.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Establecer el Benchmark de Ramping:</w:t>
      </w:r>
      <w:r>
        <w:rPr>
          <w:rFonts w:ascii="Calibri" w:hAnsi="Calibri"/>
          <w:color w:val="334155"/>
          <w:sz w:val="22"/>
        </w:rPr>
        <w:t xml:space="preserve"> Crear la guía estándar de incorporación para futuros SDRs y Account Executives en PayMind.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Auditar la Eficiencia del Embudo (Sales Cycle Telemetry):</w:t>
      </w:r>
      <w:r>
        <w:rPr>
          <w:rFonts w:ascii="Calibri" w:hAnsi="Calibri"/>
          <w:color w:val="334155"/>
          <w:sz w:val="22"/>
        </w:rPr>
        <w:t xml:space="preserve"> Registrar la latencia exacta entre cada etapa del funnel (Lead ➔ Envíos ➔ Respuestas ➔ Reuniones ➔ Demos ➔ Cierre).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🪓 2. Fase 1: "Afilar el Hacha" (Investigación, Depuración y Construcción GTM)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🗓️ Hitos de Trabajo &amp; Arquitectura de Datos: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#### Hito 1: Investigación de Mercado y Lenguaje Sectorial (Gasolineras México)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Acciones:</w:t>
      </w:r>
      <w:r>
        <w:rPr>
          <w:rFonts w:ascii="Calibri" w:hAnsi="Calibri"/>
          <w:color w:val="334155"/>
          <w:sz w:val="22"/>
        </w:rPr>
        <w:t xml:space="preserve"> Análisis exhaustivo del ecosistema de software volumétrico en México (ControlGAS, eGas, Nexus, Intelisis, Gilbarco, Wayne).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Hallazgo Clave:</w:t>
      </w:r>
      <w:r>
        <w:rPr>
          <w:rFonts w:ascii="Calibri" w:hAnsi="Calibri"/>
          <w:color w:val="334155"/>
          <w:sz w:val="22"/>
        </w:rPr>
        <w:t xml:space="preserve"> El sector no compra "tecnología abstracta", compra soluciones a dolores operativos de fin de mes (conciliación de tarjeta vs. dispensario y cumplimiento de Anexo 30 SAT / CRE).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Resultado:</w:t>
      </w:r>
      <w:r>
        <w:rPr>
          <w:rFonts w:ascii="Calibri" w:hAnsi="Calibri"/>
          <w:color w:val="334155"/>
          <w:sz w:val="22"/>
        </w:rPr>
        <w:t xml:space="preserve"> Eliminación del lenguaje robótico (</w:t>
      </w:r>
      <w:r>
        <w:rPr>
          <w:rFonts w:ascii="Consolas" w:hAnsi="Consolas"/>
          <w:color w:val="E11D48"/>
          <w:sz w:val="19"/>
        </w:rPr>
        <w:t>{{Empresa}}</w:t>
      </w:r>
      <w:r>
        <w:rPr>
          <w:rFonts w:ascii="Calibri" w:hAnsi="Calibri"/>
          <w:color w:val="334155"/>
          <w:sz w:val="22"/>
        </w:rPr>
        <w:t>) y adopción del léxico de pista (*isla, dispensario, posición de carga, volumen*).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#### Hito 2: Protocolo Zero-Assumption y Matriz Anti-Humo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Acciones:</w:t>
      </w:r>
      <w:r>
        <w:rPr>
          <w:rFonts w:ascii="Calibri" w:hAnsi="Calibri"/>
          <w:color w:val="334155"/>
          <w:sz w:val="22"/>
        </w:rPr>
        <w:t xml:space="preserve"> Auditoría rigurosa de propuestas comerciales para eliminar cifras inventadas o afirmaciones académicas no respaldadas.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Resultado:</w:t>
      </w:r>
      <w:r>
        <w:rPr>
          <w:rFonts w:ascii="Calibri" w:hAnsi="Calibri"/>
          <w:color w:val="334155"/>
          <w:sz w:val="22"/>
        </w:rPr>
        <w:t xml:space="preserve"> Establecimiento de la credibilidad basada en evidencia pública verificada: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Mención pública de Grupo Orsan en </w:t>
      </w:r>
      <w:r>
        <w:rPr>
          <w:rFonts w:ascii="Consolas" w:hAnsi="Consolas"/>
          <w:color w:val="E11D48"/>
          <w:sz w:val="19"/>
        </w:rPr>
        <w:t>paymind.mx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Delimitación clara: *PayMind se integra a los sistemas volumétricos para la conectividad y conciliación del cobro en pista, aclarando que no emite facturación.*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#### Hito 3: Limpieza y Estructuración de la Base Heredada de Antonio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Acciones:</w:t>
      </w:r>
      <w:r>
        <w:rPr>
          <w:rFonts w:ascii="Calibri" w:hAnsi="Calibri"/>
          <w:color w:val="334155"/>
          <w:sz w:val="22"/>
        </w:rPr>
        <w:t xml:space="preserve"> Deduplicación, normalización de dominios y segmentación de la </w:t>
      </w:r>
      <w:r>
        <w:rPr>
          <w:rFonts w:ascii="Calibri" w:hAnsi="Calibri"/>
          <w:b/>
          <w:color w:val="0F172A"/>
        </w:rPr>
        <w:t>base de datos heredada por Antonio</w:t>
      </w:r>
      <w:r>
        <w:rPr>
          <w:rFonts w:ascii="Calibri" w:hAnsi="Calibri"/>
          <w:color w:val="334155"/>
          <w:sz w:val="22"/>
        </w:rPr>
        <w:t xml:space="preserve"> (conocimiento y red preexistente en el sector gasolinero).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Entregables:</w:t>
      </w:r>
    </w:p>
    <w:p>
      <w:pPr>
        <w:pStyle w:val="ListBullet"/>
        <w:spacing w:after="60"/>
      </w:pPr>
      <w:r>
        <w:rPr>
          <w:rFonts w:ascii="Consolas" w:hAnsi="Consolas"/>
          <w:color w:val="E11D48"/>
          <w:sz w:val="19"/>
        </w:rPr>
        <w:t>BASE_MAESTRA_GASOLINERAS_PAYMIND.xlsx</w:t>
      </w:r>
    </w:p>
    <w:p>
      <w:pPr>
        <w:pStyle w:val="ListBullet"/>
        <w:spacing w:after="60"/>
      </w:pPr>
      <w:r>
        <w:rPr>
          <w:rFonts w:ascii="Consolas" w:hAnsi="Consolas"/>
          <w:color w:val="E11D48"/>
          <w:sz w:val="19"/>
        </w:rPr>
        <w:t>Snovio_Gasolineras_AB_Master.csv</w:t>
      </w:r>
      <w:r>
        <w:rPr>
          <w:rFonts w:ascii="Calibri" w:hAnsi="Calibri"/>
          <w:color w:val="334155"/>
          <w:sz w:val="22"/>
        </w:rPr>
        <w:t xml:space="preserve"> (433 prospectos)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CSVs limpios para Mailsuite y Snov.io (</w:t>
      </w:r>
      <w:r>
        <w:rPr>
          <w:rFonts w:ascii="Consolas" w:hAnsi="Consolas"/>
          <w:color w:val="E11D48"/>
          <w:sz w:val="19"/>
        </w:rPr>
        <w:t>Grupo A: 217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Grupo B: 216</w:t>
      </w:r>
      <w:r>
        <w:rPr>
          <w:rFonts w:ascii="Calibri" w:hAnsi="Calibri"/>
          <w:color w:val="334155"/>
          <w:sz w:val="22"/>
        </w:rPr>
        <w:t>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#### Hito 4: Construcción del Hito Saliente (Viernes 28 de Agosto de 2026)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Hora de Ejecución:</w:t>
      </w:r>
      <w:r>
        <w:rPr>
          <w:rFonts w:ascii="Calibri" w:hAnsi="Calibri"/>
          <w:color w:val="334155"/>
          <w:sz w:val="22"/>
        </w:rPr>
        <w:t xml:space="preserve"> 4:50 PM (Hora Centro de México).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Acción:</w:t>
      </w:r>
      <w:r>
        <w:rPr>
          <w:rFonts w:ascii="Calibri" w:hAnsi="Calibri"/>
          <w:color w:val="334155"/>
          <w:sz w:val="22"/>
        </w:rPr>
        <w:t xml:space="preserve"> Lanzamiento oficial de la prueba A/B para la ventana de </w:t>
      </w:r>
      <w:r>
        <w:rPr>
          <w:rFonts w:ascii="Calibri" w:hAnsi="Calibri"/>
          <w:b/>
          <w:color w:val="0F172A"/>
        </w:rPr>
        <w:t>Cierre Fiscal de Mes (28 al 31 de Agosto)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Resultado Inmediato (Primeras 5 Horas):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76 correos procesados / 67 enviados.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10 correos extintos aislados en automático (14% Bounce Rate / Base 100% purificada).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11 lecturas confirmadas (17% Open Rate inicial a la 1:30 AM del Sábado 29).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0% de quejas / 0% desuscritos.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📈 3. Modelo Matemático de Probabilidad de Negocio Cerrado (RevOps Pipeline Forecast)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Tomando en cuenta que la base utilizada es una </w:t>
      </w:r>
      <w:r>
        <w:rPr>
          <w:rFonts w:ascii="Calibri" w:hAnsi="Calibri"/>
          <w:b/>
          <w:color w:val="0F172A"/>
        </w:rPr>
        <w:t>base heredada por Antonio</w:t>
      </w:r>
      <w:r>
        <w:rPr>
          <w:rFonts w:ascii="Calibri" w:hAnsi="Calibri"/>
          <w:color w:val="334155"/>
          <w:sz w:val="22"/>
        </w:rPr>
        <w:t xml:space="preserve"> (contactos calificados del sector con mayor afinidad que un raspado en frío genérico), este es el modelo de conversión proyectado: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📊 Tabla de Conversión y Rendimiento Esperado: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Etapa del Embudo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Escenario Conservador (300 Snov.io Free)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Escenario Objetivo (433 Base Completa)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Tasa de Conversión Asumida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Base Alcanzada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300 estaciones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433 estaciones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100%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Entregados en Inbox (87%)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261 entregados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376 entregados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87% (Empírico)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Lecturas Únicas (Open Rate)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91 lecturas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169 lecturas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35% - 45%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Respuestas Humanas (Replies)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10 a 15 respuestas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20 a 30 respuestas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4% - 8% (Base Heredada)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Reuniones / Pitch Agendados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4 a 6 Reuniones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8 a 12 Reuniones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40% - 50% de las respuestas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 xml:space="preserve">🏆 </w:t>
            </w:r>
            <w:r>
              <w:rPr>
                <w:rFonts w:ascii="Calibri" w:hAnsi="Calibri"/>
                <w:b/>
                <w:color w:val="0F172A"/>
              </w:rPr>
              <w:t>CONTRATOS CERRADOS GANADOS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1 a 2 Contratos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3 a 4 Contratos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20% - 30% Win Rate B2B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💰 Impacto Comercial Esperado: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En el sector gasolinero B2B, un </w:t>
      </w:r>
      <w:r>
        <w:rPr>
          <w:rFonts w:ascii="Calibri" w:hAnsi="Calibri"/>
          <w:b/>
          <w:color w:val="0F172A"/>
        </w:rPr>
        <w:t>contrato ganado</w:t>
      </w:r>
      <w:r>
        <w:rPr>
          <w:rFonts w:ascii="Calibri" w:hAnsi="Calibri"/>
          <w:color w:val="334155"/>
          <w:sz w:val="22"/>
        </w:rPr>
        <w:t xml:space="preserve"> suele involucrar </w:t>
      </w:r>
      <w:r>
        <w:rPr>
          <w:rFonts w:ascii="Calibri" w:hAnsi="Calibri"/>
          <w:b/>
          <w:color w:val="0F172A"/>
        </w:rPr>
        <w:t>grupos de 2 a 5 estaciones de servicio</w:t>
      </w:r>
      <w:r>
        <w:rPr>
          <w:rFonts w:ascii="Calibri" w:hAnsi="Calibri"/>
          <w:color w:val="334155"/>
          <w:sz w:val="22"/>
        </w:rPr>
        <w:t>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Cerrar 1 a 3 contratos</w:t>
      </w:r>
      <w:r>
        <w:rPr>
          <w:rFonts w:ascii="Calibri" w:hAnsi="Calibri"/>
          <w:color w:val="334155"/>
          <w:sz w:val="22"/>
        </w:rPr>
        <w:t xml:space="preserve"> equivale a conectar entre </w:t>
      </w:r>
      <w:r>
        <w:rPr>
          <w:rFonts w:ascii="Calibri" w:hAnsi="Calibri"/>
          <w:b/>
          <w:color w:val="0F172A"/>
        </w:rPr>
        <w:t>3 y 15 estaciones de servicio adicionales a PayMind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Esto genera un impacto directo en volumen transaccionado en pista y MRR de comisiones por integración.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📊 4. Matriz de Telemetría del Embudo de Conversión (Funnel Tracking)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Etapa del Embudo</w:t>
            </w:r>
          </w:p>
        </w:tc>
        <w:tc>
          <w:tcPr>
            <w:tcW w:type="dxa" w:w="1987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Métrica / Hito</w:t>
            </w:r>
          </w:p>
        </w:tc>
        <w:tc>
          <w:tcPr>
            <w:tcW w:type="dxa" w:w="1987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Tiempo Acumulado (Días/Horas)</w:t>
            </w:r>
          </w:p>
        </w:tc>
        <w:tc>
          <w:tcPr>
            <w:tcW w:type="dxa" w:w="1987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Benchmark / Meta</w:t>
            </w:r>
          </w:p>
        </w:tc>
        <w:tc>
          <w:tcPr>
            <w:tcW w:type="dxa" w:w="1987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Estado Actual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Etapa 0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Onboarding New Hire &amp; Base Heredada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Días de preparación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&lt; 10 días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Completado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Etapa 1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Lanzamiento Primera Campaña Saliente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Viernes 28 Aug 4:50 PM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Día 0 de campaña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Completado (76 envíos)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Etapa 2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Primeras Lecturas Confirmadas (17% Open)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Sábado 29 Aug 1:35 AM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&lt; 12 horas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Completado (11 opens)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Etapa 3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Primeras Respuestas Humanas (Replies)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Lunes 31 Aug (Pendiente)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&lt; 72 horas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⏳ En espera del lunes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Etapa 4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Primera Reunión Agendada (Discovery Call)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Por definir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&lt; 5 días desde respuesta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⏳ Próximo hito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Etapa 5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Demostración Técnica / Pitch Volumétrico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Por definir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&lt; 10 días desde Discovery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⏳ Próximo hito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Etapa 6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Cierre Comercial / Alta de Estación en PayMind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Por definir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&lt; 30 días de ciclo total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⏳ Meta final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*Última actualización: Sábado 29 de Agosto de 2026, 01:50 AM (CST).*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