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Criterios de la nueva secuencia</w:t>
      </w:r>
    </w:p>
    <w:p>
      <w:pPr>
        <w:keepNext/>
        <w:spacing w:before="240" w:after="120"/>
      </w:pPr>
      <w:r>
        <w:rPr>
          <w:rFonts w:ascii="Calibri" w:hAnsi="Calibri"/>
          <w:b/>
          <w:color w:val="2563EB"/>
          <w:sz w:val="32"/>
        </w:rPr>
        <w:t>Voz</w:t>
      </w:r>
    </w:p>
    <w:p>
      <w:pPr>
        <w:spacing w:after="80"/>
      </w:pPr>
      <w:r>
        <w:rPr>
          <w:rFonts w:ascii="Calibri" w:hAnsi="Calibri"/>
          <w:color w:val="334155"/>
          <w:sz w:val="22"/>
        </w:rPr>
        <w:t>La secuencia debe sonar como una persona que está aprendiendo el negocio, no como una marca que ya diagnosticó al prospecto. Antonio debe decir qué está tratando de entender, reconocer que no conoce todavía la operación particular y pedir una respuesta sencilla antes de proponer una demo.</w:t>
      </w:r>
    </w:p>
    <w:p>
      <w:pPr>
        <w:keepNext/>
        <w:spacing w:before="240" w:after="120"/>
      </w:pPr>
      <w:r>
        <w:rPr>
          <w:rFonts w:ascii="Calibri" w:hAnsi="Calibri"/>
          <w:b/>
          <w:color w:val="2563EB"/>
          <w:sz w:val="32"/>
        </w:rPr>
        <w:t>Se elimina</w:t>
      </w:r>
    </w:p>
    <w:p>
      <w:pPr>
        <w:pStyle w:val="ListBullet"/>
        <w:spacing w:after="60"/>
      </w:pPr>
      <w:r>
        <w:rPr>
          <w:rFonts w:ascii="Calibri" w:hAnsi="Calibri"/>
          <w:color w:val="334155"/>
          <w:sz w:val="22"/>
        </w:rPr>
        <w:t>“Eliminando la espera”, “agilizar”, “aumentar throughput”, “antifraude”, “T+1”, “ATEX”, “cobro exacto” y cualquier beneficio presentado como hecho si no está confirmado para PayMind y para ese prospecto.</w:t>
      </w:r>
    </w:p>
    <w:p>
      <w:pPr>
        <w:pStyle w:val="ListBullet"/>
        <w:spacing w:after="60"/>
      </w:pPr>
      <w:r>
        <w:rPr>
          <w:rFonts w:ascii="Calibri" w:hAnsi="Calibri"/>
          <w:color w:val="334155"/>
          <w:sz w:val="22"/>
        </w:rPr>
        <w:t>Referencias a bancos concretos como BBVA, BanBajío o Afirme, porque no sabemos qué banco usa cada contacto.</w:t>
      </w:r>
    </w:p>
    <w:p>
      <w:pPr>
        <w:pStyle w:val="ListBullet"/>
        <w:spacing w:after="60"/>
      </w:pPr>
      <w:r>
        <w:rPr>
          <w:rFonts w:ascii="Calibri" w:hAnsi="Calibri"/>
          <w:color w:val="334155"/>
          <w:sz w:val="22"/>
        </w:rPr>
        <w:t>“5 minutos esta semana” como CTA repetido en todos los correos.</w:t>
      </w:r>
    </w:p>
    <w:p>
      <w:pPr>
        <w:pStyle w:val="ListBullet"/>
        <w:spacing w:after="60"/>
      </w:pPr>
      <w:r>
        <w:rPr>
          <w:rFonts w:ascii="Calibri" w:hAnsi="Calibri"/>
          <w:color w:val="334155"/>
          <w:sz w:val="22"/>
        </w:rPr>
        <w:t>Lenguaje de campaña: “solución”, “innovadora”, “llave en mano”, “directamente al dispensario”, “sin cambiar nada”.</w:t>
      </w:r>
    </w:p>
    <w:p>
      <w:pPr>
        <w:keepNext/>
        <w:spacing w:before="240" w:after="120"/>
      </w:pPr>
      <w:r>
        <w:rPr>
          <w:rFonts w:ascii="Calibri" w:hAnsi="Calibri"/>
          <w:b/>
          <w:color w:val="2563EB"/>
          <w:sz w:val="32"/>
        </w:rPr>
        <w:t>Se incorpora</w:t>
      </w:r>
    </w:p>
    <w:p>
      <w:pPr>
        <w:pStyle w:val="ListBullet"/>
        <w:spacing w:after="60"/>
      </w:pPr>
      <w:r>
        <w:rPr>
          <w:rFonts w:ascii="Calibri" w:hAnsi="Calibri"/>
          <w:color w:val="334155"/>
          <w:sz w:val="22"/>
        </w:rPr>
        <w:t>Una pregunta operativa concreta.</w:t>
      </w:r>
    </w:p>
    <w:p>
      <w:pPr>
        <w:pStyle w:val="ListBullet"/>
        <w:spacing w:after="60"/>
      </w:pPr>
      <w:r>
        <w:rPr>
          <w:rFonts w:ascii="Calibri" w:hAnsi="Calibri"/>
          <w:color w:val="334155"/>
          <w:sz w:val="22"/>
        </w:rPr>
        <w:t>Transparencia: “estoy tratando de entender”, “no sé si esto es un problema para ustedes”.</w:t>
      </w:r>
    </w:p>
    <w:p>
      <w:pPr>
        <w:pStyle w:val="ListBullet"/>
        <w:spacing w:after="60"/>
      </w:pPr>
      <w:r>
        <w:rPr>
          <w:rFonts w:ascii="Calibri" w:hAnsi="Calibri"/>
          <w:color w:val="334155"/>
          <w:sz w:val="22"/>
        </w:rPr>
        <w:t>Permiso para corregir la hipótesis.</w:t>
      </w:r>
    </w:p>
    <w:p>
      <w:pPr>
        <w:pStyle w:val="ListBullet"/>
        <w:spacing w:after="60"/>
      </w:pPr>
      <w:r>
        <w:rPr>
          <w:rFonts w:ascii="Calibri" w:hAnsi="Calibri"/>
          <w:color w:val="334155"/>
          <w:sz w:val="22"/>
        </w:rPr>
        <w:t>Pregunta de enrutamiento: si la persona no es la indicada, pedir el contacto correcto.</w:t>
      </w:r>
    </w:p>
    <w:p>
      <w:pPr>
        <w:pStyle w:val="ListBullet"/>
        <w:spacing w:after="60"/>
      </w:pPr>
      <w:r>
        <w:rPr>
          <w:rFonts w:ascii="Calibri" w:hAnsi="Calibri"/>
          <w:color w:val="334155"/>
          <w:sz w:val="22"/>
        </w:rPr>
        <w:t>Cierre respetuoso y opción clara de no interés.</w:t>
      </w:r>
    </w:p>
    <w:p>
      <w:pPr>
        <w:keepNext/>
        <w:spacing w:before="240" w:after="120"/>
      </w:pPr>
      <w:r>
        <w:rPr>
          <w:rFonts w:ascii="Calibri" w:hAnsi="Calibri"/>
          <w:b/>
          <w:color w:val="2563EB"/>
          <w:sz w:val="32"/>
        </w:rPr>
        <w:t>Uso de columnas</w:t>
      </w:r>
    </w:p>
    <w:p>
      <w:pPr>
        <w:spacing w:after="80"/>
      </w:pPr>
      <w:r>
        <w:rPr>
          <w:rFonts w:ascii="Calibri" w:hAnsi="Calibri"/>
          <w:color w:val="334155"/>
          <w:sz w:val="22"/>
        </w:rPr>
        <w:t>Las columnas Asunto_Variante_A a D se convierten en pasos de seguimiento, no en claims alternativos. Si Snovio las interpreta como A/B tests, conviene usar sólo Paso1 y cargar A-D como follow-ups separados para no enviar cuatro variantes a la misma persona.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