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172A"/>
          <w:sz w:val="36"/>
        </w:rPr>
        <w:t>🚀 ESTRATEGIA REFORZADA DE CRECIMIENTO PARA PAYMIND EN GASOLINERAS DE MÉXICO</w:t>
      </w:r>
    </w:p>
    <w:p>
      <w:pPr>
        <w:ind w:left="576"/>
      </w:pPr>
      <w:r>
        <w:rPr>
          <w:rFonts w:ascii="Calibri" w:hAnsi="Calibri"/>
          <w:i/>
          <w:color w:val="475569"/>
        </w:rPr>
        <w:t>**Versión Ejecutiva — 27 de agosto de 2026**</w:t>
      </w:r>
    </w:p>
    <w:p>
      <w:pPr>
        <w:ind w:left="576"/>
      </w:pPr>
      <w:r>
        <w:rPr>
          <w:rFonts w:ascii="Calibri" w:hAnsi="Calibri"/>
          <w:i/>
          <w:color w:val="475569"/>
        </w:rPr>
        <w:t>**Autor:** Antonio Gutiérrez | Consultor de Crecimiento &amp; Pagos</w:t>
      </w:r>
    </w:p>
    <w:p>
      <w:pPr>
        <w:ind w:left="576"/>
      </w:pPr>
      <w:r>
        <w:rPr>
          <w:rFonts w:ascii="Calibri" w:hAnsi="Calibri"/>
          <w:i/>
          <w:color w:val="475569"/>
        </w:rPr>
        <w:t>**Protocolo:** Zero-Assumption, Rigor Sectorial ONEXPO y SAT Anexo 30</w:t>
      </w:r>
    </w:p>
    <w:p>
      <w:r>
        <w:rPr>
          <w:rFonts w:ascii="Calibri" w:hAnsi="Calibri"/>
          <w:sz w:val="22"/>
        </w:rPr>
        <w:t>---</w:t>
      </w:r>
    </w:p>
    <w:p>
      <w:pPr>
        <w:spacing w:before="240" w:after="120"/>
      </w:pPr>
      <w:r>
        <w:rPr>
          <w:rFonts w:ascii="Calibri" w:hAnsi="Calibri"/>
          <w:b/>
          <w:color w:val="2563EB"/>
          <w:sz w:val="28"/>
        </w:rPr>
        <w:t>📌 1. Tesis Estratégica</w:t>
      </w:r>
    </w:p>
    <w:p>
      <w:r>
        <w:rPr>
          <w:rFonts w:ascii="Calibri" w:hAnsi="Calibri"/>
          <w:sz w:val="22"/>
        </w:rPr>
        <w:t xml:space="preserve">PayMind no debe posicionarse como otro proveedor de terminales. La categoría correcta es </w:t>
      </w:r>
      <w:r>
        <w:rPr>
          <w:rFonts w:ascii="Calibri" w:hAnsi="Calibri"/>
          <w:b/>
          <w:color w:val="0F172A"/>
        </w:rPr>
        <w:t>infraestructura de cobro y operación para estaciones de servicio</w:t>
      </w:r>
      <w:r>
        <w:rPr>
          <w:rFonts w:ascii="Calibri" w:hAnsi="Calibri"/>
          <w:sz w:val="22"/>
        </w:rPr>
        <w:t xml:space="preserve">, con un producto ancla muy concreto: </w:t>
      </w:r>
      <w:r>
        <w:rPr>
          <w:rFonts w:ascii="Calibri" w:hAnsi="Calibri"/>
          <w:b/>
          <w:color w:val="0F172A"/>
        </w:rPr>
        <w:t>pago autónomo por posición/bomba, integrado al control volumétrico, la facturación y la conciliación</w:t>
      </w:r>
      <w:r>
        <w:rPr>
          <w:rFonts w:ascii="Calibri" w:hAnsi="Calibri"/>
          <w:sz w:val="22"/>
        </w:rPr>
        <w:t>.</w:t>
      </w:r>
    </w:p>
    <w:p>
      <w:r>
        <w:rPr>
          <w:rFonts w:ascii="Calibri" w:hAnsi="Calibri"/>
          <w:sz w:val="22"/>
        </w:rPr>
        <w:t>El kiosco es la “cuña” comercial porque resuelve un problema visible para el conductor: no tener que esperar a que el operador termine con el vehículo que llegó antes, ni depender de una sola terminal compartida. Para el gasolinero, la venta no debe basarse en “innovación”, sino en cuatro resultados medibles: reducir espera, aumentar transacciones por posición en horas pico, bajar errores de conciliación y extender capacidad operativa sin añadir la misma cantidad de personal.</w:t>
      </w:r>
    </w:p>
    <w:p>
      <w:pPr>
        <w:ind w:left="576"/>
      </w:pPr>
      <w:r>
        <w:rPr>
          <w:rFonts w:ascii="Calibri" w:hAnsi="Calibri"/>
          <w:i/>
          <w:color w:val="475569"/>
        </w:rPr>
        <w:t>**Posicionamiento recomendado:** “PayMind convierte cada posición de carga en un punto de cobro autónomo, conectado y medible, sin perder control fiscal ni operativo.”</w:t>
      </w:r>
    </w:p>
    <w:p>
      <w:r>
        <w:rPr>
          <w:rFonts w:ascii="Calibri" w:hAnsi="Calibri"/>
          <w:sz w:val="22"/>
        </w:rPr>
        <w:t>---</w:t>
      </w:r>
    </w:p>
    <w:p>
      <w:pPr>
        <w:spacing w:before="240" w:after="120"/>
      </w:pPr>
      <w:r>
        <w:rPr>
          <w:rFonts w:ascii="Calibri" w:hAnsi="Calibri"/>
          <w:b/>
          <w:color w:val="2563EB"/>
          <w:sz w:val="28"/>
        </w:rPr>
        <w:t>⚖️ 2. Tratamiento de Cifras y Evidencia (Protocolo Zero-Assumption)</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Calibri" w:hAnsi="Calibri"/>
                <w:b/>
                <w:color w:val="FFFFFF"/>
                <w:sz w:val="22"/>
              </w:rPr>
              <w:t>Elemento de la versión original</w:t>
            </w:r>
          </w:p>
        </w:tc>
        <w:tc>
          <w:tcPr>
            <w:tcW w:type="dxa" w:w="3312"/>
            <w:shd w:fill="0F172A"/>
          </w:tcPr>
          <w:p>
            <w:r>
              <w:rPr>
                <w:rFonts w:ascii="Calibri" w:hAnsi="Calibri"/>
                <w:b/>
                <w:color w:val="FFFFFF"/>
                <w:sz w:val="22"/>
              </w:rPr>
              <w:t>Evaluación</w:t>
            </w:r>
          </w:p>
        </w:tc>
        <w:tc>
          <w:tcPr>
            <w:tcW w:type="dxa" w:w="3312"/>
            <w:shd w:fill="0F172A"/>
          </w:tcPr>
          <w:p>
            <w:r>
              <w:rPr>
                <w:rFonts w:ascii="Calibri" w:hAnsi="Calibri"/>
                <w:b/>
                <w:color w:val="FFFFFF"/>
                <w:sz w:val="22"/>
              </w:rPr>
              <w:t>Tratamiento recomendado</w:t>
            </w:r>
          </w:p>
        </w:tc>
      </w:tr>
      <w:tr>
        <w:tc>
          <w:tcPr>
            <w:tcW w:type="dxa" w:w="3312"/>
          </w:tcPr>
          <w:p>
            <w:r>
              <w:rPr>
                <w:rFonts w:ascii="Calibri" w:hAnsi="Calibri"/>
                <w:sz w:val="22"/>
              </w:rPr>
              <w:t>Control volumétrico como integración central</w:t>
            </w:r>
          </w:p>
        </w:tc>
        <w:tc>
          <w:tcPr>
            <w:tcW w:type="dxa" w:w="3312"/>
          </w:tcPr>
          <w:p>
            <w:r>
              <w:rPr>
                <w:rFonts w:ascii="Calibri" w:hAnsi="Calibri"/>
                <w:sz w:val="22"/>
              </w:rPr>
              <w:t>Sólido</w:t>
            </w:r>
          </w:p>
        </w:tc>
        <w:tc>
          <w:tcPr>
            <w:tcW w:type="dxa" w:w="3312"/>
          </w:tcPr>
          <w:p>
            <w:r>
              <w:rPr>
                <w:rFonts w:ascii="Calibri" w:hAnsi="Calibri"/>
                <w:sz w:val="22"/>
              </w:rPr>
              <w:t>Mantener. El SAT define el control volumétrico como registros de entradas, salidas y existencias asociados con facturas [1].</w:t>
            </w:r>
          </w:p>
        </w:tc>
      </w:tr>
      <w:tr>
        <w:tc>
          <w:tcPr>
            <w:tcW w:type="dxa" w:w="3312"/>
          </w:tcPr>
          <w:p>
            <w:r>
              <w:rPr>
                <w:rFonts w:ascii="Calibri" w:hAnsi="Calibri"/>
                <w:sz w:val="22"/>
              </w:rPr>
              <w:t>ATIO/ControlGAS como partner potencial</w:t>
            </w:r>
          </w:p>
        </w:tc>
        <w:tc>
          <w:tcPr>
            <w:tcW w:type="dxa" w:w="3312"/>
          </w:tcPr>
          <w:p>
            <w:r>
              <w:rPr>
                <w:rFonts w:ascii="Calibri" w:hAnsi="Calibri"/>
                <w:sz w:val="22"/>
              </w:rPr>
              <w:t>Plausible y verificable como proveedor</w:t>
            </w:r>
          </w:p>
        </w:tc>
        <w:tc>
          <w:tcPr>
            <w:tcW w:type="dxa" w:w="3312"/>
          </w:tcPr>
          <w:p>
            <w:r>
              <w:rPr>
                <w:rFonts w:ascii="Calibri" w:hAnsi="Calibri"/>
                <w:sz w:val="22"/>
              </w:rPr>
              <w:t>Mantener como cuenta estratégica, sin afirmar market share sin datos públicos. ControlGAS comunica conexión a dispensarios, inventarios y CFDI [4].</w:t>
            </w:r>
          </w:p>
        </w:tc>
      </w:tr>
      <w:tr>
        <w:tc>
          <w:tcPr>
            <w:tcW w:type="dxa" w:w="3312"/>
          </w:tcPr>
          <w:p>
            <w:r>
              <w:rPr>
                <w:rFonts w:ascii="Calibri" w:hAnsi="Calibri"/>
                <w:sz w:val="22"/>
              </w:rPr>
              <w:t>500 estaciones con autoservicio y 4,000 en 2030</w:t>
            </w:r>
          </w:p>
        </w:tc>
        <w:tc>
          <w:tcPr>
            <w:tcW w:type="dxa" w:w="3312"/>
          </w:tcPr>
          <w:p>
            <w:r>
              <w:rPr>
                <w:rFonts w:ascii="Calibri" w:hAnsi="Calibri"/>
                <w:sz w:val="22"/>
              </w:rPr>
              <w:t>Señal sectorial</w:t>
            </w:r>
          </w:p>
        </w:tc>
        <w:tc>
          <w:tcPr>
            <w:tcW w:type="dxa" w:w="3312"/>
          </w:tcPr>
          <w:p>
            <w:r>
              <w:rPr>
                <w:rFonts w:ascii="Calibri" w:hAnsi="Calibri"/>
                <w:sz w:val="22"/>
              </w:rPr>
              <w:t>Usar como hipótesis de mercado atribuida a ONEXPO [3].</w:t>
            </w:r>
          </w:p>
        </w:tc>
      </w:tr>
      <w:tr>
        <w:tc>
          <w:tcPr>
            <w:tcW w:type="dxa" w:w="3312"/>
          </w:tcPr>
          <w:p>
            <w:r>
              <w:rPr>
                <w:rFonts w:ascii="Calibri" w:hAnsi="Calibri"/>
                <w:sz w:val="22"/>
              </w:rPr>
              <w:t>50% menor tiempo y 30% mayor satisfacción</w:t>
            </w:r>
          </w:p>
        </w:tc>
        <w:tc>
          <w:tcPr>
            <w:tcW w:type="dxa" w:w="3312"/>
          </w:tcPr>
          <w:p>
            <w:r>
              <w:rPr>
                <w:rFonts w:ascii="Calibri" w:hAnsi="Calibri"/>
                <w:sz w:val="22"/>
              </w:rPr>
              <w:t>Benchmark de proveedor</w:t>
            </w:r>
          </w:p>
        </w:tc>
        <w:tc>
          <w:tcPr>
            <w:tcW w:type="dxa" w:w="3312"/>
          </w:tcPr>
          <w:p>
            <w:r>
              <w:rPr>
                <w:rFonts w:ascii="Calibri" w:hAnsi="Calibri"/>
                <w:sz w:val="22"/>
              </w:rPr>
              <w:t>Presentar como caso publicado por LKS para Sinopec [2].</w:t>
            </w:r>
          </w:p>
        </w:tc>
      </w:tr>
      <w:tr>
        <w:tc>
          <w:tcPr>
            <w:tcW w:type="dxa" w:w="3312"/>
          </w:tcPr>
          <w:p>
            <w:r>
              <w:rPr>
                <w:rFonts w:ascii="Calibri" w:hAnsi="Calibri"/>
                <w:sz w:val="22"/>
              </w:rPr>
              <w:t>50–60% de abandono de filas en México</w:t>
            </w:r>
          </w:p>
        </w:tc>
        <w:tc>
          <w:tcPr>
            <w:tcW w:type="dxa" w:w="3312"/>
          </w:tcPr>
          <w:p>
            <w:r>
              <w:rPr>
                <w:rFonts w:ascii="Calibri" w:hAnsi="Calibri"/>
                <w:sz w:val="22"/>
              </w:rPr>
              <w:t>No verificado</w:t>
            </w:r>
          </w:p>
        </w:tc>
        <w:tc>
          <w:tcPr>
            <w:tcW w:type="dxa" w:w="3312"/>
          </w:tcPr>
          <w:p>
            <w:r>
              <w:rPr>
                <w:rFonts w:ascii="Calibri" w:hAnsi="Calibri"/>
                <w:sz w:val="22"/>
              </w:rPr>
              <w:t>Eliminar. Medir abandono real por cámara u observación.</w:t>
            </w:r>
          </w:p>
        </w:tc>
      </w:tr>
      <w:tr>
        <w:tc>
          <w:tcPr>
            <w:tcW w:type="dxa" w:w="3312"/>
          </w:tcPr>
          <w:p>
            <w:r>
              <w:rPr>
                <w:rFonts w:ascii="Calibri" w:hAnsi="Calibri"/>
                <w:sz w:val="22"/>
              </w:rPr>
              <w:t>$630k–$945k de ventas perdidas mensuales</w:t>
            </w:r>
          </w:p>
        </w:tc>
        <w:tc>
          <w:tcPr>
            <w:tcW w:type="dxa" w:w="3312"/>
          </w:tcPr>
          <w:p>
            <w:r>
              <w:rPr>
                <w:rFonts w:ascii="Calibri" w:hAnsi="Calibri"/>
                <w:sz w:val="22"/>
              </w:rPr>
              <w:t>Modelo especulativo</w:t>
            </w:r>
          </w:p>
        </w:tc>
        <w:tc>
          <w:tcPr>
            <w:tcW w:type="dxa" w:w="3312"/>
          </w:tcPr>
          <w:p>
            <w:r>
              <w:rPr>
                <w:rFonts w:ascii="Calibri" w:hAnsi="Calibri"/>
                <w:sz w:val="22"/>
              </w:rPr>
              <w:t>Eliminar del pitch. Sustituir por un calculador por estación.</w:t>
            </w:r>
          </w:p>
        </w:tc>
      </w:tr>
      <w:tr>
        <w:tc>
          <w:tcPr>
            <w:tcW w:type="dxa" w:w="3312"/>
          </w:tcPr>
          <w:p>
            <w:r>
              <w:rPr>
                <w:rFonts w:ascii="Calibri" w:hAnsi="Calibri"/>
                <w:sz w:val="22"/>
              </w:rPr>
              <w:t>$250k de inversión por estación</w:t>
            </w:r>
          </w:p>
        </w:tc>
        <w:tc>
          <w:tcPr>
            <w:tcW w:type="dxa" w:w="3312"/>
          </w:tcPr>
          <w:p>
            <w:r>
              <w:rPr>
                <w:rFonts w:ascii="Calibri" w:hAnsi="Calibri"/>
                <w:sz w:val="22"/>
              </w:rPr>
              <w:t>Referencia sectorial útil</w:t>
            </w:r>
          </w:p>
        </w:tc>
        <w:tc>
          <w:tcPr>
            <w:tcW w:type="dxa" w:w="3312"/>
          </w:tcPr>
          <w:p>
            <w:r>
              <w:rPr>
                <w:rFonts w:ascii="Calibri" w:hAnsi="Calibri"/>
                <w:sz w:val="22"/>
              </w:rPr>
              <w:t>Incluir en TCO preliminar como rango citado por ONEXPO [3].</w:t>
            </w:r>
          </w:p>
        </w:tc>
      </w:tr>
      <w:tr>
        <w:tc>
          <w:tcPr>
            <w:tcW w:type="dxa" w:w="3312"/>
          </w:tcPr>
          <w:p>
            <w:r>
              <w:rPr>
                <w:rFonts w:ascii="Calibri" w:hAnsi="Calibri"/>
                <w:sz w:val="22"/>
              </w:rPr>
              <w:t>PayMind Ads y gamificación desde el inicio</w:t>
            </w:r>
          </w:p>
        </w:tc>
        <w:tc>
          <w:tcPr>
            <w:tcW w:type="dxa" w:w="3312"/>
          </w:tcPr>
          <w:p>
            <w:r>
              <w:rPr>
                <w:rFonts w:ascii="Calibri" w:hAnsi="Calibri"/>
                <w:sz w:val="22"/>
              </w:rPr>
              <w:t>Prematuro</w:t>
            </w:r>
          </w:p>
        </w:tc>
        <w:tc>
          <w:tcPr>
            <w:tcW w:type="dxa" w:w="3312"/>
          </w:tcPr>
          <w:p>
            <w:r>
              <w:rPr>
                <w:rFonts w:ascii="Calibri" w:hAnsi="Calibri"/>
                <w:sz w:val="22"/>
              </w:rPr>
              <w:t>Mover a Fase 2 (tras estabilidad del core).</w:t>
            </w:r>
          </w:p>
        </w:tc>
      </w:tr>
      <w:tr>
        <w:tc>
          <w:tcPr>
            <w:tcW w:type="dxa" w:w="3312"/>
          </w:tcPr>
          <w:p>
            <w:r>
              <w:rPr>
                <w:rFonts w:ascii="Calibri" w:hAnsi="Calibri"/>
                <w:sz w:val="22"/>
              </w:rPr>
              <w:t>500 estaciones activas en 12 meses</w:t>
            </w:r>
          </w:p>
        </w:tc>
        <w:tc>
          <w:tcPr>
            <w:tcW w:type="dxa" w:w="3312"/>
          </w:tcPr>
          <w:p>
            <w:r>
              <w:rPr>
                <w:rFonts w:ascii="Calibri" w:hAnsi="Calibri"/>
                <w:sz w:val="22"/>
              </w:rPr>
              <w:t>Agresivo</w:t>
            </w:r>
          </w:p>
        </w:tc>
        <w:tc>
          <w:tcPr>
            <w:tcW w:type="dxa" w:w="3312"/>
          </w:tcPr>
          <w:p>
            <w:r>
              <w:rPr>
                <w:rFonts w:ascii="Calibri" w:hAnsi="Calibri"/>
                <w:sz w:val="22"/>
              </w:rPr>
              <w:t>Convertir en meta condicionada a integraciones y soporte (25, 75 y 200 estaciones).</w:t>
            </w:r>
          </w:p>
        </w:tc>
      </w:tr>
    </w:tbl>
    <w:p>
      <w:r>
        <w:rPr>
          <w:rFonts w:ascii="Calibri" w:hAnsi="Calibri"/>
          <w:sz w:val="22"/>
        </w:rPr>
        <w:t>---</w:t>
      </w:r>
    </w:p>
    <w:p>
      <w:pPr>
        <w:spacing w:before="240" w:after="120"/>
      </w:pPr>
      <w:r>
        <w:rPr>
          <w:rFonts w:ascii="Calibri" w:hAnsi="Calibri"/>
          <w:b/>
          <w:color w:val="2563EB"/>
          <w:sz w:val="28"/>
        </w:rPr>
        <w:t>🎯 3. Segmentación Real del Mercado Gasolinero en México</w:t>
      </w:r>
    </w:p>
    <w:p>
      <w:r>
        <w:rPr>
          <w:rFonts w:ascii="Calibri" w:hAnsi="Calibri"/>
          <w:sz w:val="22"/>
        </w:rPr>
        <w:t xml:space="preserve">La información sectorial de ONEXPO reporta aproximadamente </w:t>
      </w:r>
      <w:r>
        <w:rPr>
          <w:rFonts w:ascii="Calibri" w:hAnsi="Calibri"/>
          <w:b/>
          <w:color w:val="0F172A"/>
        </w:rPr>
        <w:t>11,259 gasolineras</w:t>
      </w:r>
      <w:r>
        <w:rPr>
          <w:rFonts w:ascii="Calibri" w:hAnsi="Calibri"/>
          <w:sz w:val="22"/>
        </w:rPr>
        <w:t xml:space="preserve">, con ventas mensuales desde 20 hasta 120 millones de pesos según ubicación, y un </w:t>
      </w:r>
      <w:r>
        <w:rPr>
          <w:rFonts w:ascii="Calibri" w:hAnsi="Calibri"/>
          <w:b/>
          <w:color w:val="0F172A"/>
        </w:rPr>
        <w:t>35% de operaciones en efectivo</w:t>
      </w:r>
      <w:r>
        <w:rPr>
          <w:rFonts w:ascii="Calibri" w:hAnsi="Calibri"/>
          <w:sz w:val="22"/>
        </w:rPr>
        <w:t xml:space="preserve"> principalmente en zonas rurales [5].</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rFonts w:ascii="Calibri" w:hAnsi="Calibri"/>
                <w:b/>
                <w:color w:val="FFFFFF"/>
                <w:sz w:val="22"/>
              </w:rPr>
              <w:t>Segmento Prioritario</w:t>
            </w:r>
          </w:p>
        </w:tc>
        <w:tc>
          <w:tcPr>
            <w:tcW w:type="dxa" w:w="2484"/>
            <w:shd w:fill="0F172A"/>
          </w:tcPr>
          <w:p>
            <w:r>
              <w:rPr>
                <w:rFonts w:ascii="Calibri" w:hAnsi="Calibri"/>
                <w:b/>
                <w:color w:val="FFFFFF"/>
                <w:sz w:val="22"/>
              </w:rPr>
              <w:t>Señales de Dolor</w:t>
            </w:r>
          </w:p>
        </w:tc>
        <w:tc>
          <w:tcPr>
            <w:tcW w:type="dxa" w:w="2484"/>
            <w:shd w:fill="0F172A"/>
          </w:tcPr>
          <w:p>
            <w:r>
              <w:rPr>
                <w:rFonts w:ascii="Calibri" w:hAnsi="Calibri"/>
                <w:b/>
                <w:color w:val="FFFFFF"/>
                <w:sz w:val="22"/>
              </w:rPr>
              <w:t>Producto Inicial</w:t>
            </w:r>
          </w:p>
        </w:tc>
        <w:tc>
          <w:tcPr>
            <w:tcW w:type="dxa" w:w="2484"/>
            <w:shd w:fill="0F172A"/>
          </w:tcPr>
          <w:p>
            <w:r>
              <w:rPr>
                <w:rFonts w:ascii="Calibri" w:hAnsi="Calibri"/>
                <w:b/>
                <w:color w:val="FFFFFF"/>
                <w:sz w:val="22"/>
              </w:rPr>
              <w:t>Por qué Compraría</w:t>
            </w:r>
          </w:p>
        </w:tc>
      </w:tr>
      <w:tr>
        <w:tc>
          <w:tcPr>
            <w:tcW w:type="dxa" w:w="2484"/>
          </w:tcPr>
          <w:p>
            <w:r>
              <w:rPr>
                <w:rFonts w:ascii="Calibri" w:hAnsi="Calibri"/>
                <w:b/>
                <w:color w:val="0F172A"/>
              </w:rPr>
              <w:t>Urbana de Alto Tráfico</w:t>
            </w:r>
          </w:p>
        </w:tc>
        <w:tc>
          <w:tcPr>
            <w:tcW w:type="dxa" w:w="2484"/>
          </w:tcPr>
          <w:p>
            <w:r>
              <w:rPr>
                <w:rFonts w:ascii="Calibri" w:hAnsi="Calibri"/>
                <w:sz w:val="22"/>
              </w:rPr>
              <w:t>Filas, terminal compartida, picos predecibles</w:t>
            </w:r>
          </w:p>
        </w:tc>
        <w:tc>
          <w:tcPr>
            <w:tcW w:type="dxa" w:w="2484"/>
          </w:tcPr>
          <w:p>
            <w:r>
              <w:rPr>
                <w:rFonts w:ascii="Calibri" w:hAnsi="Calibri"/>
                <w:sz w:val="22"/>
              </w:rPr>
              <w:t>Kiosco asistido + pago por posición</w:t>
            </w:r>
          </w:p>
        </w:tc>
        <w:tc>
          <w:tcPr>
            <w:tcW w:type="dxa" w:w="2484"/>
          </w:tcPr>
          <w:p>
            <w:r>
              <w:rPr>
                <w:rFonts w:ascii="Calibri" w:hAnsi="Calibri"/>
                <w:sz w:val="22"/>
              </w:rPr>
              <w:t>Más capacidad en horas pico y menor frustración</w:t>
            </w:r>
          </w:p>
        </w:tc>
      </w:tr>
      <w:tr>
        <w:tc>
          <w:tcPr>
            <w:tcW w:type="dxa" w:w="2484"/>
          </w:tcPr>
          <w:p>
            <w:r>
              <w:rPr>
                <w:rFonts w:ascii="Calibri" w:hAnsi="Calibri"/>
                <w:b/>
                <w:color w:val="0F172A"/>
              </w:rPr>
              <w:t>Carretera / Autopista</w:t>
            </w:r>
          </w:p>
        </w:tc>
        <w:tc>
          <w:tcPr>
            <w:tcW w:type="dxa" w:w="2484"/>
          </w:tcPr>
          <w:p>
            <w:r>
              <w:rPr>
                <w:rFonts w:ascii="Calibri" w:hAnsi="Calibri"/>
                <w:sz w:val="22"/>
              </w:rPr>
              <w:t>Alto volumen, urgencia del conductor, nocturnos</w:t>
            </w:r>
          </w:p>
        </w:tc>
        <w:tc>
          <w:tcPr>
            <w:tcW w:type="dxa" w:w="2484"/>
          </w:tcPr>
          <w:p>
            <w:r>
              <w:rPr>
                <w:rFonts w:ascii="Calibri" w:hAnsi="Calibri"/>
                <w:sz w:val="22"/>
              </w:rPr>
              <w:t>Kiosco de autoservicio + redundancia offline</w:t>
            </w:r>
          </w:p>
        </w:tc>
        <w:tc>
          <w:tcPr>
            <w:tcW w:type="dxa" w:w="2484"/>
          </w:tcPr>
          <w:p>
            <w:r>
              <w:rPr>
                <w:rFonts w:ascii="Calibri" w:hAnsi="Calibri"/>
                <w:sz w:val="22"/>
              </w:rPr>
              <w:t>Continuidad y velocidad de atención</w:t>
            </w:r>
          </w:p>
        </w:tc>
      </w:tr>
      <w:tr>
        <w:tc>
          <w:tcPr>
            <w:tcW w:type="dxa" w:w="2484"/>
          </w:tcPr>
          <w:p>
            <w:r>
              <w:rPr>
                <w:rFonts w:ascii="Calibri" w:hAnsi="Calibri"/>
                <w:b/>
                <w:color w:val="0F172A"/>
              </w:rPr>
              <w:t>Cadena Mediana (3-30 est.)</w:t>
            </w:r>
          </w:p>
        </w:tc>
        <w:tc>
          <w:tcPr>
            <w:tcW w:type="dxa" w:w="2484"/>
          </w:tcPr>
          <w:p>
            <w:r>
              <w:rPr>
                <w:rFonts w:ascii="Calibri" w:hAnsi="Calibri"/>
                <w:sz w:val="22"/>
              </w:rPr>
              <w:t>Conciliación centralizada, estandarización</w:t>
            </w:r>
          </w:p>
        </w:tc>
        <w:tc>
          <w:tcPr>
            <w:tcW w:type="dxa" w:w="2484"/>
          </w:tcPr>
          <w:p>
            <w:r>
              <w:rPr>
                <w:rFonts w:ascii="Calibri" w:hAnsi="Calibri"/>
                <w:sz w:val="22"/>
              </w:rPr>
              <w:t>Plataforma multiestación + kioscos</w:t>
            </w:r>
          </w:p>
        </w:tc>
        <w:tc>
          <w:tcPr>
            <w:tcW w:type="dxa" w:w="2484"/>
          </w:tcPr>
          <w:p>
            <w:r>
              <w:rPr>
                <w:rFonts w:ascii="Calibri" w:hAnsi="Calibri"/>
                <w:sz w:val="22"/>
              </w:rPr>
              <w:t>Control corporativo y despliegue repetible</w:t>
            </w:r>
          </w:p>
        </w:tc>
      </w:tr>
      <w:tr>
        <w:tc>
          <w:tcPr>
            <w:tcW w:type="dxa" w:w="2484"/>
          </w:tcPr>
          <w:p>
            <w:r>
              <w:rPr>
                <w:rFonts w:ascii="Calibri" w:hAnsi="Calibri"/>
                <w:b/>
                <w:color w:val="0F172A"/>
              </w:rPr>
              <w:t>Rural / Bajo Volumen</w:t>
            </w:r>
          </w:p>
        </w:tc>
        <w:tc>
          <w:tcPr>
            <w:tcW w:type="dxa" w:w="2484"/>
          </w:tcPr>
          <w:p>
            <w:r>
              <w:rPr>
                <w:rFonts w:ascii="Calibri" w:hAnsi="Calibri"/>
                <w:sz w:val="22"/>
              </w:rPr>
              <w:t>Efectivo, conectividad, menor inversión</w:t>
            </w:r>
          </w:p>
        </w:tc>
        <w:tc>
          <w:tcPr>
            <w:tcW w:type="dxa" w:w="2484"/>
          </w:tcPr>
          <w:p>
            <w:r>
              <w:rPr>
                <w:rFonts w:ascii="Calibri" w:hAnsi="Calibri"/>
                <w:sz w:val="22"/>
              </w:rPr>
              <w:t>Terminal móvil / QR primero</w:t>
            </w:r>
          </w:p>
        </w:tc>
        <w:tc>
          <w:tcPr>
            <w:tcW w:type="dxa" w:w="2484"/>
          </w:tcPr>
          <w:p>
            <w:r>
              <w:rPr>
                <w:rFonts w:ascii="Calibri" w:hAnsi="Calibri"/>
                <w:sz w:val="22"/>
              </w:rPr>
              <w:t>Menor CAPEX y adopción gradual</w:t>
            </w:r>
          </w:p>
        </w:tc>
      </w:tr>
      <w:tr>
        <w:tc>
          <w:tcPr>
            <w:tcW w:type="dxa" w:w="2484"/>
          </w:tcPr>
          <w:p>
            <w:r>
              <w:rPr>
                <w:rFonts w:ascii="Calibri" w:hAnsi="Calibri"/>
                <w:b/>
                <w:color w:val="0F172A"/>
              </w:rPr>
              <w:t>Autoconsumo / Flotillas</w:t>
            </w:r>
          </w:p>
        </w:tc>
        <w:tc>
          <w:tcPr>
            <w:tcW w:type="dxa" w:w="2484"/>
          </w:tcPr>
          <w:p>
            <w:r>
              <w:rPr>
                <w:rFonts w:ascii="Calibri" w:hAnsi="Calibri"/>
                <w:sz w:val="22"/>
              </w:rPr>
              <w:t>Control por vehículo, centros de costo</w:t>
            </w:r>
          </w:p>
        </w:tc>
        <w:tc>
          <w:tcPr>
            <w:tcW w:type="dxa" w:w="2484"/>
          </w:tcPr>
          <w:p>
            <w:r>
              <w:rPr>
                <w:rFonts w:ascii="Calibri" w:hAnsi="Calibri"/>
                <w:sz w:val="22"/>
              </w:rPr>
              <w:t>Kiosco con identificación de flota</w:t>
            </w:r>
          </w:p>
        </w:tc>
        <w:tc>
          <w:tcPr>
            <w:tcW w:type="dxa" w:w="2484"/>
          </w:tcPr>
          <w:p>
            <w:r>
              <w:rPr>
                <w:rFonts w:ascii="Calibri" w:hAnsi="Calibri"/>
                <w:sz w:val="22"/>
              </w:rPr>
              <w:t>Trazabilidad y control de gasto</w:t>
            </w:r>
          </w:p>
        </w:tc>
      </w:tr>
    </w:tbl>
    <w:p>
      <w:r>
        <w:rPr>
          <w:rFonts w:ascii="Calibri" w:hAnsi="Calibri"/>
          <w:sz w:val="22"/>
        </w:rPr>
        <w:t>---</w:t>
      </w:r>
    </w:p>
    <w:p>
      <w:pPr>
        <w:spacing w:before="240" w:after="120"/>
      </w:pPr>
      <w:r>
        <w:rPr>
          <w:rFonts w:ascii="Calibri" w:hAnsi="Calibri"/>
          <w:b/>
          <w:color w:val="2563EB"/>
          <w:sz w:val="28"/>
        </w:rPr>
        <w:t>💡 4. Propuesta de Valor: Del "Momento WOW" al Resultado Económico</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rFonts w:ascii="Calibri" w:hAnsi="Calibri"/>
                <w:b/>
                <w:color w:val="FFFFFF"/>
                <w:sz w:val="22"/>
              </w:rPr>
              <w:t>Momento</w:t>
            </w:r>
          </w:p>
        </w:tc>
        <w:tc>
          <w:tcPr>
            <w:tcW w:type="dxa" w:w="2484"/>
            <w:shd w:fill="0F172A"/>
          </w:tcPr>
          <w:p>
            <w:r>
              <w:rPr>
                <w:rFonts w:ascii="Calibri" w:hAnsi="Calibri"/>
                <w:b/>
                <w:color w:val="FFFFFF"/>
                <w:sz w:val="22"/>
              </w:rPr>
              <w:t>Experiencia del Conductor</w:t>
            </w:r>
          </w:p>
        </w:tc>
        <w:tc>
          <w:tcPr>
            <w:tcW w:type="dxa" w:w="2484"/>
            <w:shd w:fill="0F172A"/>
          </w:tcPr>
          <w:p>
            <w:r>
              <w:rPr>
                <w:rFonts w:ascii="Calibri" w:hAnsi="Calibri"/>
                <w:b/>
                <w:color w:val="FFFFFF"/>
                <w:sz w:val="22"/>
              </w:rPr>
              <w:t>Métrica de Producto</w:t>
            </w:r>
          </w:p>
        </w:tc>
        <w:tc>
          <w:tcPr>
            <w:tcW w:type="dxa" w:w="2484"/>
            <w:shd w:fill="0F172A"/>
          </w:tcPr>
          <w:p>
            <w:r>
              <w:rPr>
                <w:rFonts w:ascii="Calibri" w:hAnsi="Calibri"/>
                <w:b/>
                <w:color w:val="FFFFFF"/>
                <w:sz w:val="22"/>
              </w:rPr>
              <w:t>Monetización Posterior</w:t>
            </w:r>
          </w:p>
        </w:tc>
      </w:tr>
      <w:tr>
        <w:tc>
          <w:tcPr>
            <w:tcW w:type="dxa" w:w="2484"/>
          </w:tcPr>
          <w:p>
            <w:r>
              <w:rPr>
                <w:rFonts w:ascii="Calibri" w:hAnsi="Calibri"/>
                <w:b/>
                <w:color w:val="0F172A"/>
              </w:rPr>
              <w:t>Llegada</w:t>
            </w:r>
          </w:p>
        </w:tc>
        <w:tc>
          <w:tcPr>
            <w:tcW w:type="dxa" w:w="2484"/>
          </w:tcPr>
          <w:p>
            <w:r>
              <w:rPr>
                <w:rFonts w:ascii="Calibri" w:hAnsi="Calibri"/>
                <w:sz w:val="22"/>
              </w:rPr>
              <w:t>Ve una instrucción clara y número de posición</w:t>
            </w:r>
          </w:p>
        </w:tc>
        <w:tc>
          <w:tcPr>
            <w:tcW w:type="dxa" w:w="2484"/>
          </w:tcPr>
          <w:p>
            <w:r>
              <w:rPr>
                <w:rFonts w:ascii="Calibri" w:hAnsi="Calibri"/>
                <w:sz w:val="22"/>
              </w:rPr>
              <w:t>Tiempo hasta iniciar pago</w:t>
            </w:r>
          </w:p>
        </w:tc>
        <w:tc>
          <w:tcPr>
            <w:tcW w:type="dxa" w:w="2484"/>
          </w:tcPr>
          <w:p>
            <w:r>
              <w:rPr>
                <w:rFonts w:ascii="Calibri" w:hAnsi="Calibri"/>
                <w:sz w:val="22"/>
              </w:rPr>
              <w:t>Sin monetizar al inicio</w:t>
            </w:r>
          </w:p>
        </w:tc>
      </w:tr>
      <w:tr>
        <w:tc>
          <w:tcPr>
            <w:tcW w:type="dxa" w:w="2484"/>
          </w:tcPr>
          <w:p>
            <w:r>
              <w:rPr>
                <w:rFonts w:ascii="Calibri" w:hAnsi="Calibri"/>
                <w:b/>
                <w:color w:val="0F172A"/>
              </w:rPr>
              <w:t>Pago</w:t>
            </w:r>
          </w:p>
        </w:tc>
        <w:tc>
          <w:tcPr>
            <w:tcW w:type="dxa" w:w="2484"/>
          </w:tcPr>
          <w:p>
            <w:r>
              <w:rPr>
                <w:rFonts w:ascii="Calibri" w:hAnsi="Calibri"/>
                <w:sz w:val="22"/>
              </w:rPr>
              <w:t>Tarjeta, NFC, QR o método autorizado</w:t>
            </w:r>
          </w:p>
        </w:tc>
        <w:tc>
          <w:tcPr>
            <w:tcW w:type="dxa" w:w="2484"/>
          </w:tcPr>
          <w:p>
            <w:r>
              <w:rPr>
                <w:rFonts w:ascii="Calibri" w:hAnsi="Calibri"/>
                <w:sz w:val="22"/>
              </w:rPr>
              <w:t>Tasa de autorización y respuesta</w:t>
            </w:r>
          </w:p>
        </w:tc>
        <w:tc>
          <w:tcPr>
            <w:tcW w:type="dxa" w:w="2484"/>
          </w:tcPr>
          <w:p>
            <w:r>
              <w:rPr>
                <w:rFonts w:ascii="Calibri" w:hAnsi="Calibri"/>
                <w:sz w:val="22"/>
              </w:rPr>
              <w:t>Comisión de procesamiento</w:t>
            </w:r>
          </w:p>
        </w:tc>
      </w:tr>
      <w:tr>
        <w:tc>
          <w:tcPr>
            <w:tcW w:type="dxa" w:w="2484"/>
          </w:tcPr>
          <w:p>
            <w:r>
              <w:rPr>
                <w:rFonts w:ascii="Calibri" w:hAnsi="Calibri"/>
                <w:b/>
                <w:color w:val="0F172A"/>
              </w:rPr>
              <w:t>Carga</w:t>
            </w:r>
          </w:p>
        </w:tc>
        <w:tc>
          <w:tcPr>
            <w:tcW w:type="dxa" w:w="2484"/>
          </w:tcPr>
          <w:p>
            <w:r>
              <w:rPr>
                <w:rFonts w:ascii="Calibri" w:hAnsi="Calibri"/>
                <w:sz w:val="22"/>
              </w:rPr>
              <w:t>Confirmación del monto/volumen y estatus</w:t>
            </w:r>
          </w:p>
        </w:tc>
        <w:tc>
          <w:tcPr>
            <w:tcW w:type="dxa" w:w="2484"/>
          </w:tcPr>
          <w:p>
            <w:r>
              <w:rPr>
                <w:rFonts w:ascii="Calibri" w:hAnsi="Calibri"/>
                <w:sz w:val="22"/>
              </w:rPr>
              <w:t>Tiempo de ciclo y errores</w:t>
            </w:r>
          </w:p>
        </w:tc>
        <w:tc>
          <w:tcPr>
            <w:tcW w:type="dxa" w:w="2484"/>
          </w:tcPr>
          <w:p>
            <w:r>
              <w:rPr>
                <w:rFonts w:ascii="Calibri" w:hAnsi="Calibri"/>
                <w:sz w:val="22"/>
              </w:rPr>
              <w:t>Oferta contextual opcional</w:t>
            </w:r>
          </w:p>
        </w:tc>
      </w:tr>
      <w:tr>
        <w:tc>
          <w:tcPr>
            <w:tcW w:type="dxa" w:w="2484"/>
          </w:tcPr>
          <w:p>
            <w:r>
              <w:rPr>
                <w:rFonts w:ascii="Calibri" w:hAnsi="Calibri"/>
                <w:b/>
                <w:color w:val="0F172A"/>
              </w:rPr>
              <w:t>Cierre</w:t>
            </w:r>
          </w:p>
        </w:tc>
        <w:tc>
          <w:tcPr>
            <w:tcW w:type="dxa" w:w="2484"/>
          </w:tcPr>
          <w:p>
            <w:r>
              <w:rPr>
                <w:rFonts w:ascii="Calibri" w:hAnsi="Calibri"/>
                <w:sz w:val="22"/>
              </w:rPr>
              <w:t>Ticket digital / factura cuando aplique</w:t>
            </w:r>
          </w:p>
        </w:tc>
        <w:tc>
          <w:tcPr>
            <w:tcW w:type="dxa" w:w="2484"/>
          </w:tcPr>
          <w:p>
            <w:r>
              <w:rPr>
                <w:rFonts w:ascii="Calibri" w:hAnsi="Calibri"/>
                <w:sz w:val="22"/>
              </w:rPr>
              <w:t>Tasa de tickets emitidos</w:t>
            </w:r>
          </w:p>
        </w:tc>
        <w:tc>
          <w:tcPr>
            <w:tcW w:type="dxa" w:w="2484"/>
          </w:tcPr>
          <w:p>
            <w:r>
              <w:rPr>
                <w:rFonts w:ascii="Calibri" w:hAnsi="Calibri"/>
                <w:sz w:val="22"/>
              </w:rPr>
              <w:t>Lealtad y CRM</w:t>
            </w:r>
          </w:p>
        </w:tc>
      </w:tr>
      <w:tr>
        <w:tc>
          <w:tcPr>
            <w:tcW w:type="dxa" w:w="2484"/>
          </w:tcPr>
          <w:p>
            <w:r>
              <w:rPr>
                <w:rFonts w:ascii="Calibri" w:hAnsi="Calibri"/>
                <w:b/>
                <w:color w:val="0F172A"/>
              </w:rPr>
              <w:t>Recompensa</w:t>
            </w:r>
          </w:p>
        </w:tc>
        <w:tc>
          <w:tcPr>
            <w:tcW w:type="dxa" w:w="2484"/>
          </w:tcPr>
          <w:p>
            <w:r>
              <w:rPr>
                <w:rFonts w:ascii="Calibri" w:hAnsi="Calibri"/>
                <w:sz w:val="22"/>
              </w:rPr>
              <w:t>Cupón de tienda, lavado o bebida</w:t>
            </w:r>
          </w:p>
        </w:tc>
        <w:tc>
          <w:tcPr>
            <w:tcW w:type="dxa" w:w="2484"/>
          </w:tcPr>
          <w:p>
            <w:r>
              <w:rPr>
                <w:rFonts w:ascii="Calibri" w:hAnsi="Calibri"/>
                <w:sz w:val="22"/>
              </w:rPr>
              <w:t>Conversión e incrementalidad</w:t>
            </w:r>
          </w:p>
        </w:tc>
        <w:tc>
          <w:tcPr>
            <w:tcW w:type="dxa" w:w="2484"/>
          </w:tcPr>
          <w:p>
            <w:r>
              <w:rPr>
                <w:rFonts w:ascii="Calibri" w:hAnsi="Calibri"/>
                <w:sz w:val="22"/>
              </w:rPr>
              <w:t>Revenue share con comercio</w:t>
            </w:r>
          </w:p>
        </w:tc>
      </w:tr>
    </w:tbl>
    <w:p>
      <w:pPr>
        <w:pStyle w:val="ListBullet"/>
      </w:pPr>
      <w:r>
        <w:rPr>
          <w:rFonts w:ascii="Calibri" w:hAnsi="Calibri"/>
          <w:b/>
          <w:color w:val="0F172A"/>
        </w:rPr>
        <w:t>Modo Autónomo:</w:t>
      </w:r>
      <w:r>
        <w:rPr>
          <w:rFonts w:ascii="Calibri" w:hAnsi="Calibri"/>
          <w:sz w:val="22"/>
        </w:rPr>
        <w:t xml:space="preserve"> El usuario completa el flujo en el kiosco.</w:t>
      </w:r>
    </w:p>
    <w:p>
      <w:pPr>
        <w:pStyle w:val="ListBullet"/>
      </w:pPr>
      <w:r>
        <w:rPr>
          <w:rFonts w:ascii="Calibri" w:hAnsi="Calibri"/>
          <w:b/>
          <w:color w:val="0F172A"/>
        </w:rPr>
        <w:t>Modo Asistido:</w:t>
      </w:r>
      <w:r>
        <w:rPr>
          <w:rFonts w:ascii="Calibri" w:hAnsi="Calibri"/>
          <w:sz w:val="22"/>
        </w:rPr>
        <w:t xml:space="preserve"> El despachador puede intervenir desde una terminal móvil para evitar que una falla paralice la isla.</w:t>
      </w:r>
    </w:p>
    <w:p>
      <w:r>
        <w:rPr>
          <w:rFonts w:ascii="Calibri" w:hAnsi="Calibri"/>
          <w:sz w:val="22"/>
        </w:rPr>
        <w:t>---</w:t>
      </w:r>
    </w:p>
    <w:p>
      <w:pPr>
        <w:spacing w:before="240" w:after="120"/>
      </w:pPr>
      <w:r>
        <w:rPr>
          <w:rFonts w:ascii="Calibri" w:hAnsi="Calibri"/>
          <w:b/>
          <w:color w:val="2563EB"/>
          <w:sz w:val="28"/>
        </w:rPr>
        <w:t>🏗️ 5. Arquitectura Técnica Recomendada (8 Capas)</w:t>
      </w:r>
    </w:p>
    <w:p>
      <w:r>
        <w:rPr>
          <w:rFonts w:ascii="Consolas" w:hAnsi="Consolas"/>
          <w:color w:val="E11D48"/>
          <w:sz w:val="19"/>
        </w:rPr>
      </w:r>
      <w:r>
        <w:rPr>
          <w:rFonts w:ascii="Consolas" w:hAnsi="Consolas"/>
          <w:color w:val="E11D48"/>
          <w:sz w:val="19"/>
        </w:rPr>
      </w:r>
    </w:p>
    <w:p>
      <w:r>
        <w:rPr>
          <w:rFonts w:ascii="Calibri" w:hAnsi="Calibri"/>
          <w:sz w:val="22"/>
        </w:rPr>
        <w:t>┌─────────────────────────────────────────────────────────────────────────────┐</w:t>
      </w:r>
    </w:p>
    <w:p>
      <w:r>
        <w:rPr>
          <w:rFonts w:ascii="Calibri" w:hAnsi="Calibri"/>
          <w:sz w:val="22"/>
        </w:rPr>
        <w:t>│                      ARQUITECTURA DE ORQUESTACIÓN PAYMIND                   │</w:t>
      </w:r>
    </w:p>
    <w:p>
      <w:r>
        <w:rPr>
          <w:rFonts w:ascii="Calibri" w:hAnsi="Calibri"/>
          <w:sz w:val="22"/>
        </w:rPr>
        <w:t>├─────────────────────────────────────────────────────────────────────────────┤</w:t>
      </w:r>
    </w:p>
    <w:p>
      <w:r>
        <w:rPr>
          <w:rFonts w:ascii="Calibri" w:hAnsi="Calibri"/>
          <w:sz w:val="22"/>
        </w:rPr>
        <w:t>│ 1. DISPENSARIO / VOLUMÉTRICO ➔ ControlGAS, eGas, Nexus, Intelisis           │</w:t>
      </w:r>
    </w:p>
    <w:p>
      <w:r>
        <w:rPr>
          <w:rFonts w:ascii="Calibri" w:hAnsi="Calibri"/>
          <w:sz w:val="22"/>
        </w:rPr>
        <w:t>│ 2. KIOSCO / TERMINAL SmartPOS ➔ Interfaz Touch, ATEX antichispas, NFC/QR    │</w:t>
      </w:r>
    </w:p>
    <w:p>
      <w:r>
        <w:rPr>
          <w:rFonts w:ascii="Calibri" w:hAnsi="Calibri"/>
          <w:sz w:val="22"/>
        </w:rPr>
        <w:t>│ 3. PAYMIND ORCHESTRATION     ➔ Estado de orden, idempotencia, audit ledger  │</w:t>
      </w:r>
    </w:p>
    <w:p>
      <w:r>
        <w:rPr>
          <w:rFonts w:ascii="Calibri" w:hAnsi="Calibri"/>
          <w:sz w:val="22"/>
        </w:rPr>
        <w:t>│ 4. ADQUIRENCIA / PAYFAC      ➔ BBVA, BanBajío, Afirme (T+1)                 │</w:t>
      </w:r>
    </w:p>
    <w:p>
      <w:r>
        <w:rPr>
          <w:rFonts w:ascii="Calibri" w:hAnsi="Calibri"/>
          <w:sz w:val="22"/>
        </w:rPr>
        <w:t>│ 5. FACTURACIÓN / CFDI        ➔ Enlace con PAC / Proveedor fiscal            │</w:t>
      </w:r>
    </w:p>
    <w:p>
      <w:r>
        <w:rPr>
          <w:rFonts w:ascii="Calibri" w:hAnsi="Calibri"/>
          <w:sz w:val="22"/>
        </w:rPr>
        <w:t>│ 6. CONCILIACIÓN AUTOMÁTICA   ➔ Cruce Despacho - Pago - Factura - Liquidación │</w:t>
      </w:r>
    </w:p>
    <w:p>
      <w:r>
        <w:rPr>
          <w:rFonts w:ascii="Calibri" w:hAnsi="Calibri"/>
          <w:sz w:val="22"/>
        </w:rPr>
        <w:t>│ 7. ANALYTICS OPERACIONAL     ➔ Throughput, uptime y tiempo de espera        │</w:t>
      </w:r>
    </w:p>
    <w:p>
      <w:r>
        <w:rPr>
          <w:rFonts w:ascii="Calibri" w:hAnsi="Calibri"/>
          <w:sz w:val="22"/>
        </w:rPr>
        <w:t>│ 8. RETAIL MEDIA / LEALTAD    ➔ Módulo de anuncios patrocinados (Fase 2)     │</w:t>
      </w:r>
    </w:p>
    <w:p>
      <w:r>
        <w:rPr>
          <w:rFonts w:ascii="Calibri" w:hAnsi="Calibri"/>
          <w:sz w:val="22"/>
        </w:rPr>
        <w:t>└─────────────────────────────────────────────────────────────────────────────┘</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2563EB"/>
          <w:sz w:val="28"/>
        </w:rPr>
        <w:t>🤝 6. Alianzas Estratégicas: Orden Correcto de Prioridad</w:t>
      </w:r>
    </w:p>
    <w:p>
      <w:r>
        <w:rPr>
          <w:rFonts w:ascii="Calibri" w:hAnsi="Calibri"/>
          <w:sz w:val="22"/>
        </w:rPr>
        <w:t xml:space="preserve">1. </w:t>
      </w:r>
      <w:r>
        <w:rPr>
          <w:rFonts w:ascii="Calibri" w:hAnsi="Calibri"/>
          <w:b/>
          <w:color w:val="0F172A"/>
        </w:rPr>
        <w:t>Prioridad 1 — Control Volumétrico / POS:</w:t>
      </w:r>
      <w:r>
        <w:rPr>
          <w:rFonts w:ascii="Calibri" w:hAnsi="Calibri"/>
          <w:sz w:val="22"/>
        </w:rPr>
        <w:t xml:space="preserve"> ATIO/ControlGAS, eGas, NexusFuel, Gasomarshal Odoo *(API, certificación, sponsor y 3 pilotos)*.</w:t>
      </w:r>
    </w:p>
    <w:p>
      <w:r>
        <w:rPr>
          <w:rFonts w:ascii="Calibri" w:hAnsi="Calibri"/>
          <w:sz w:val="22"/>
        </w:rPr>
        <w:t xml:space="preserve">2. </w:t>
      </w:r>
      <w:r>
        <w:rPr>
          <w:rFonts w:ascii="Calibri" w:hAnsi="Calibri"/>
          <w:b/>
          <w:color w:val="0F172A"/>
        </w:rPr>
        <w:t>Prioridad 2 — Integradores de Estaciones:</w:t>
      </w:r>
      <w:r>
        <w:rPr>
          <w:rFonts w:ascii="Calibri" w:hAnsi="Calibri"/>
          <w:sz w:val="22"/>
        </w:rPr>
        <w:t xml:space="preserve"> Distribuidores e implementadores locales *(Producto adicional y comisión por activación)*.</w:t>
      </w:r>
    </w:p>
    <w:p>
      <w:r>
        <w:rPr>
          <w:rFonts w:ascii="Calibri" w:hAnsi="Calibri"/>
          <w:sz w:val="22"/>
        </w:rPr>
        <w:t xml:space="preserve">3. </w:t>
      </w:r>
      <w:r>
        <w:rPr>
          <w:rFonts w:ascii="Calibri" w:hAnsi="Calibri"/>
          <w:b/>
          <w:color w:val="0F172A"/>
        </w:rPr>
        <w:t>Prioridad 3 — Hardware de Surtidores / Kioscos:</w:t>
      </w:r>
      <w:r>
        <w:rPr>
          <w:rFonts w:ascii="Calibri" w:hAnsi="Calibri"/>
          <w:sz w:val="22"/>
        </w:rPr>
        <w:t xml:space="preserve"> Gilbarco, Dover Fueling, LKS *(Capa de pagos y conciliación)*.</w:t>
      </w:r>
    </w:p>
    <w:p>
      <w:r>
        <w:rPr>
          <w:rFonts w:ascii="Calibri" w:hAnsi="Calibri"/>
          <w:sz w:val="22"/>
        </w:rPr>
        <w:t xml:space="preserve">4. </w:t>
      </w:r>
      <w:r>
        <w:rPr>
          <w:rFonts w:ascii="Calibri" w:hAnsi="Calibri"/>
          <w:b/>
          <w:color w:val="0F172A"/>
        </w:rPr>
        <w:t>Prioridad 4 — Adquirente / PayFac:</w:t>
      </w:r>
      <w:r>
        <w:rPr>
          <w:rFonts w:ascii="Calibri" w:hAnsi="Calibri"/>
          <w:sz w:val="22"/>
        </w:rPr>
        <w:t xml:space="preserve"> BBVA, BanBajío, Afirme *(Volumen incremental y liquidez T+1)*.</w:t>
      </w:r>
    </w:p>
    <w:p>
      <w:r>
        <w:rPr>
          <w:rFonts w:ascii="Calibri" w:hAnsi="Calibri"/>
          <w:sz w:val="22"/>
        </w:rPr>
        <w:t xml:space="preserve">5. </w:t>
      </w:r>
      <w:r>
        <w:rPr>
          <w:rFonts w:ascii="Calibri" w:hAnsi="Calibri"/>
          <w:b/>
          <w:color w:val="0F172A"/>
        </w:rPr>
        <w:t>Prioridad 5 — POS de Tienda / Lavado:</w:t>
      </w:r>
      <w:r>
        <w:rPr>
          <w:rFonts w:ascii="Calibri" w:hAnsi="Calibri"/>
          <w:sz w:val="22"/>
        </w:rPr>
        <w:t xml:space="preserve"> Conveniencia y servicios complementarios *(Cupones y revenue share)*.</w:t>
      </w:r>
    </w:p>
    <w:p>
      <w:r>
        <w:rPr>
          <w:rFonts w:ascii="Calibri" w:hAnsi="Calibri"/>
          <w:sz w:val="22"/>
        </w:rPr>
        <w:t xml:space="preserve">6. </w:t>
      </w:r>
      <w:r>
        <w:rPr>
          <w:rFonts w:ascii="Calibri" w:hAnsi="Calibri"/>
          <w:b/>
          <w:color w:val="0F172A"/>
        </w:rPr>
        <w:t>Prioridad 6 — Marcas / Retail Media:</w:t>
      </w:r>
      <w:r>
        <w:rPr>
          <w:rFonts w:ascii="Calibri" w:hAnsi="Calibri"/>
          <w:sz w:val="22"/>
        </w:rPr>
        <w:t xml:space="preserve"> CPG, automotrices, seguros *(Audiencia contextual tras escala)*.</w:t>
      </w:r>
    </w:p>
    <w:p>
      <w:r>
        <w:rPr>
          <w:rFonts w:ascii="Calibri" w:hAnsi="Calibri"/>
          <w:sz w:val="22"/>
        </w:rPr>
        <w:t>---</w:t>
      </w:r>
    </w:p>
    <w:p>
      <w:pPr>
        <w:spacing w:before="240" w:after="120"/>
      </w:pPr>
      <w:r>
        <w:rPr>
          <w:rFonts w:ascii="Calibri" w:hAnsi="Calibri"/>
          <w:b/>
          <w:color w:val="2563EB"/>
          <w:sz w:val="28"/>
        </w:rPr>
        <w:t>📊 7. Modelo Comercial, Financiero y Hoja de Ruta de 18 Meses</w:t>
      </w:r>
    </w:p>
    <w:p>
      <w:r>
        <w:rPr>
          <w:rFonts w:ascii="Consolas" w:hAnsi="Consolas"/>
          <w:color w:val="E11D48"/>
          <w:sz w:val="19"/>
        </w:rPr>
      </w:r>
      <w:r>
        <w:rPr>
          <w:rFonts w:ascii="Consolas" w:hAnsi="Consolas"/>
          <w:color w:val="E11D48"/>
          <w:sz w:val="19"/>
        </w:rPr>
      </w:r>
    </w:p>
    <w:p>
      <w:r>
        <w:rPr>
          <w:rFonts w:ascii="Calibri" w:hAnsi="Calibri"/>
          <w:sz w:val="22"/>
        </w:rPr>
        <w:t>┌─────────────────────────────────────────────────────────────────────────────┐</w:t>
      </w:r>
    </w:p>
    <w:p>
      <w:r>
        <w:rPr>
          <w:rFonts w:ascii="Calibri" w:hAnsi="Calibri"/>
          <w:sz w:val="22"/>
        </w:rPr>
        <w:t>│                         HOJA DE RUTA A 18 MESES                             │</w:t>
      </w:r>
    </w:p>
    <w:p>
      <w:r>
        <w:rPr>
          <w:rFonts w:ascii="Calibri" w:hAnsi="Calibri"/>
          <w:sz w:val="22"/>
        </w:rPr>
        <w:t>├─────────────┬───────────────────────────────┬───────────────────────────────┤</w:t>
      </w:r>
    </w:p>
    <w:p>
      <w:r>
        <w:rPr>
          <w:rFonts w:ascii="Calibri" w:hAnsi="Calibri"/>
          <w:sz w:val="22"/>
        </w:rPr>
        <w:t>│ Periodo     │ Prioridad Estratégica         │ Meta / Entregable             │</w:t>
      </w:r>
    </w:p>
    <w:p>
      <w:r>
        <w:rPr>
          <w:rFonts w:ascii="Calibri" w:hAnsi="Calibri"/>
          <w:sz w:val="22"/>
        </w:rPr>
        <w:t>├─────────────┼───────────────────────────────┼───────────────────────────────┤</w:t>
      </w:r>
    </w:p>
    <w:p>
      <w:r>
        <w:rPr>
          <w:rFonts w:ascii="Calibri" w:hAnsi="Calibri"/>
          <w:sz w:val="22"/>
        </w:rPr>
        <w:t>│ 0-2 Meses   │ Descubrimiento &amp; Compliance   │ 15 entrevistas, 5 estaciones  │</w:t>
      </w:r>
    </w:p>
    <w:p>
      <w:r>
        <w:rPr>
          <w:rFonts w:ascii="Calibri" w:hAnsi="Calibri"/>
          <w:sz w:val="22"/>
        </w:rPr>
        <w:t>│ 2-4 Meses   │ Producto Mínimo (MVP)         │ Kiosco asistido, pagos, T+1   │</w:t>
      </w:r>
    </w:p>
    <w:p>
      <w:r>
        <w:rPr>
          <w:rFonts w:ascii="Calibri" w:hAnsi="Calibri"/>
          <w:sz w:val="22"/>
        </w:rPr>
        <w:t>│ 4-6 Meses   │ Piloto Validado               │ 3-5 estaciones (Urbana/Carre) │</w:t>
      </w:r>
    </w:p>
    <w:p>
      <w:r>
        <w:rPr>
          <w:rFonts w:ascii="Calibri" w:hAnsi="Calibri"/>
          <w:sz w:val="22"/>
        </w:rPr>
        <w:t>│ 6-9 Meses   │ Repetibilidad Commercial      │ 10 oportunidades calificados  │</w:t>
      </w:r>
    </w:p>
    <w:p>
      <w:r>
        <w:rPr>
          <w:rFonts w:ascii="Calibri" w:hAnsi="Calibri"/>
          <w:sz w:val="22"/>
        </w:rPr>
        <w:t>│ 9-12 Meses  │ Land &amp; Expand                 │ 25 a 75 estaciones pagadoras  │</w:t>
      </w:r>
    </w:p>
    <w:p>
      <w:r>
        <w:rPr>
          <w:rFonts w:ascii="Calibri" w:hAnsi="Calibri"/>
          <w:sz w:val="22"/>
        </w:rPr>
        <w:t>│ 12-18 Meses │ Escala Selectiva              │ 100 a 200 estaciones activas  │</w:t>
      </w:r>
    </w:p>
    <w:p>
      <w:r>
        <w:rPr>
          <w:rFonts w:ascii="Calibri" w:hAnsi="Calibri"/>
          <w:sz w:val="22"/>
        </w:rPr>
        <w:t>└─────────────┴───────────────────────────────┴───────────────────────────────┘</w:t>
      </w:r>
    </w:p>
    <w:p>
      <w:r>
        <w:rPr>
          <w:rFonts w:ascii="Consolas" w:hAnsi="Consolas"/>
          <w:color w:val="E11D48"/>
          <w:sz w:val="19"/>
        </w:rPr>
      </w:r>
      <w:r>
        <w:rPr>
          <w:rFonts w:ascii="Consolas" w:hAnsi="Consolas"/>
          <w:color w:val="E11D48"/>
          <w:sz w:val="19"/>
        </w:rPr>
      </w:r>
    </w:p>
    <w:p>
      <w:r>
        <w:rPr>
          <w:rFonts w:ascii="Calibri" w:hAnsi="Calibri"/>
          <w:sz w:val="22"/>
        </w:rPr>
        <w:t>---</w:t>
      </w:r>
    </w:p>
    <w:p>
      <w:pPr>
        <w:spacing w:before="240" w:after="120"/>
      </w:pPr>
      <w:r>
        <w:rPr>
          <w:rFonts w:ascii="Calibri" w:hAnsi="Calibri"/>
          <w:b/>
          <w:color w:val="2563EB"/>
          <w:sz w:val="28"/>
        </w:rPr>
        <w:t>💬 8. Mensaje Comercial Recomendado (Pitch Ejecutivo)</w:t>
      </w:r>
    </w:p>
    <w:p>
      <w:pPr>
        <w:ind w:left="576"/>
      </w:pPr>
      <w:r>
        <w:rPr>
          <w:rFonts w:ascii="Calibri" w:hAnsi="Calibri"/>
          <w:i/>
          <w:color w:val="475569"/>
        </w:rPr>
        <w:t>**“PayMind permite cobrar en la propia posición de carga, integrado con el control volumétrico y la conciliación de tu estación. En seis semanas medimos cuánto tiempo de espera eliminas, cuántas transacciones adicionales puedes procesar y cuánto reduces las diferencias de caja. Si el resultado no aparece en tus datos, no escalamos.”**</w:t>
      </w:r>
    </w:p>
    <w:p>
      <w:r>
        <w:rPr>
          <w:rFonts w:ascii="Calibri" w:hAnsi="Calibri"/>
          <w:sz w:val="22"/>
        </w:rPr>
        <w:t>---</w:t>
      </w:r>
    </w:p>
    <w:p>
      <w:pPr>
        <w:spacing w:before="240" w:after="120"/>
      </w:pPr>
      <w:r>
        <w:rPr>
          <w:rFonts w:ascii="Calibri" w:hAnsi="Calibri"/>
          <w:b/>
          <w:color w:val="2563EB"/>
          <w:sz w:val="28"/>
        </w:rPr>
        <w:t>📚 Referencias</w:t>
      </w:r>
    </w:p>
    <w:p>
      <w:r>
        <w:rPr>
          <w:rFonts w:ascii="Calibri" w:hAnsi="Calibri"/>
          <w:sz w:val="22"/>
        </w:rPr>
        <w:t>[1] SAT — Preguntas frecuentes sobre controles volumétricos (Anexo 30).</w:t>
      </w:r>
    </w:p>
    <w:p>
      <w:r>
        <w:rPr>
          <w:rFonts w:ascii="Calibri" w:hAnsi="Calibri"/>
          <w:sz w:val="22"/>
        </w:rPr>
        <w:t>[2] LKS Kiosk — Application analysis of self-service terminal in petrochemical industry (Sinopec).</w:t>
      </w:r>
    </w:p>
    <w:p>
      <w:r>
        <w:rPr>
          <w:rFonts w:ascii="Calibri" w:hAnsi="Calibri"/>
          <w:sz w:val="22"/>
        </w:rPr>
        <w:t>[3] ONEXPO — Las gasolineras en México quieren reducir costos y automatizar estaciones.</w:t>
      </w:r>
    </w:p>
    <w:p>
      <w:r>
        <w:rPr>
          <w:rFonts w:ascii="Calibri" w:hAnsi="Calibri"/>
          <w:sz w:val="22"/>
        </w:rPr>
        <w:t>[4] ATIO Group — ControlGAS Software de Control Volumétrico.</w:t>
      </w:r>
    </w:p>
    <w:p>
      <w:r>
        <w:rPr>
          <w:rFonts w:ascii="Calibri" w:hAnsi="Calibri"/>
          <w:sz w:val="22"/>
        </w:rPr>
        <w:t>[5] ONEXPO — Pagos digitales obligatorios elevarán competencia entre estaciones gasolineras.</w:t>
      </w:r>
    </w:p>
    <w:p>
      <w:r>
        <w:rPr>
          <w:rFonts w:ascii="Calibri" w:hAnsi="Calibri"/>
          <w:sz w:val="22"/>
        </w:rPr>
        <w:t>[6] Yuno — Success stories (Vibra / Premmia Brasil).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