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🎯 ESTRATEGIA DE FOCO A 90 DÍAS: CASO ORSAN Y EJECUCIÓN REGIONAL</w:t>
      </w:r>
    </w:p>
    <w:p>
      <w:pPr>
        <w:ind w:left="576"/>
      </w:pPr>
      <w:r>
        <w:rPr>
          <w:rFonts w:ascii="Calibri" w:hAnsi="Calibri"/>
          <w:i/>
          <w:color w:val="475569"/>
        </w:rPr>
        <w:t>**Versión de Alta Dirección — 27 de agosto de 2026**</w:t>
      </w:r>
    </w:p>
    <w:p>
      <w:pPr>
        <w:ind w:left="576"/>
      </w:pPr>
      <w:r>
        <w:rPr>
          <w:rFonts w:ascii="Calibri" w:hAnsi="Calibri"/>
          <w:i/>
          <w:color w:val="475569"/>
        </w:rPr>
        <w:t>**Autor:** Antonio Gutiérrez | Consultor de Crecimiento &amp; Pagos</w:t>
      </w:r>
    </w:p>
    <w:p>
      <w:pPr>
        <w:ind w:left="576"/>
      </w:pPr>
      <w:r>
        <w:rPr>
          <w:rFonts w:ascii="Calibri" w:hAnsi="Calibri"/>
          <w:i/>
          <w:color w:val="475569"/>
        </w:rPr>
        <w:t>**Propósito:** Eliminar la parálisis por análisis, sustituir la dispersión táctica por una sola apuesta de alto impacto y proteger la posición comercial de Antonio en PayMind.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💥 1. Diagnóstico de Realidad: De la Fantasía al Cierre Real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El Riesgo de la Dispersión Táctica</w:t>
      </w:r>
    </w:p>
    <w:p>
      <w:r>
        <w:rPr>
          <w:rFonts w:ascii="Calibri" w:hAnsi="Calibri"/>
          <w:sz w:val="22"/>
        </w:rPr>
        <w:t xml:space="preserve">Proponer 5 servicios simultáneos (Control volumétrico + Kioskos + Retail Media + Lealtad + Anticipos de flujo) en 4 frentes paralelos (Bancos + ERPs + Integradores + Gremios) suena impresionante en un documento, pero </w:t>
      </w:r>
      <w:r>
        <w:rPr>
          <w:rFonts w:ascii="Calibri" w:hAnsi="Calibri"/>
          <w:b/>
          <w:color w:val="0F172A"/>
        </w:rPr>
        <w:t>muere en la ejecución real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Si la posición de Antonio en PayMind depende de traer resultados rápidos, intentar abarcar todo con recursos limitados garantiza no profundizar en ninguno antes de que la Dirección pregunte: *“¿Y los ingresos reales dónde están?”*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🎯 2. La Única Apuesta Concentrada (Plan de 90 Días)</w:t>
      </w:r>
    </w:p>
    <w:p>
      <w:r>
        <w:rPr>
          <w:rFonts w:ascii="Calibri" w:hAnsi="Calibri"/>
          <w:sz w:val="22"/>
        </w:rPr>
        <w:t>En lugar de lanzar una campaña masiva desenfocada, la estrategia ganadora consiste en: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alibri" w:hAnsi="Calibri"/>
          <w:sz w:val="22"/>
        </w:rPr>
        <w:t>│                 APUESTA ÚNICA Y SECUENCIAL EN 30-60-90 DÍAS                 │</w:t>
      </w:r>
    </w:p>
    <w:p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alibri" w:hAnsi="Calibri"/>
          <w:sz w:val="22"/>
        </w:rPr>
        <w:t>│ 1. MES 1 ➔ Extraer la Evidencia Interna Real del Caso Grupo ORSAN (Mobil)   │</w:t>
      </w:r>
    </w:p>
    <w:p>
      <w:r>
        <w:rPr>
          <w:rFonts w:ascii="Calibri" w:hAnsi="Calibri"/>
          <w:sz w:val="22"/>
        </w:rPr>
        <w:t>│ 2. MES 2 ➔ Amarrar 1 solo Software Volumétrico Regional (eGas o Nexus)      │</w:t>
      </w:r>
    </w:p>
    <w:p>
      <w:r>
        <w:rPr>
          <w:rFonts w:ascii="Calibri" w:hAnsi="Calibri"/>
          <w:sz w:val="22"/>
        </w:rPr>
        <w:t>│ 3. MES 3 ➔ Dominar 1 solo Clúster Geográfico (Ej. Sureste / Península)       │</w:t>
      </w:r>
    </w:p>
    <w:p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📊 3. Los 4 Bloques de Datos Internos del Caso ORSAN</w:t>
      </w:r>
    </w:p>
    <w:p>
      <w:r>
        <w:rPr>
          <w:rFonts w:ascii="Calibri" w:hAnsi="Calibri"/>
          <w:sz w:val="22"/>
        </w:rPr>
        <w:t>Para tener referencia real interna (no para el pitch abstracto), Antonio necesita auditarlos en el sistema: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Bloque 1: Operación y Adopción Real</w:t>
      </w:r>
    </w:p>
    <w:p>
      <w:pPr>
        <w:pStyle w:val="ListBullet"/>
      </w:pPr>
      <w:r>
        <w:rPr>
          <w:rFonts w:ascii="Calibri" w:hAnsi="Calibri"/>
          <w:sz w:val="22"/>
        </w:rPr>
        <w:t>Transacciones/día procesadas en bombas ORSAN.</w:t>
      </w:r>
    </w:p>
    <w:p>
      <w:pPr>
        <w:pStyle w:val="ListBullet"/>
      </w:pPr>
      <w:r>
        <w:rPr>
          <w:rFonts w:ascii="Calibri" w:hAnsi="Calibri"/>
          <w:sz w:val="22"/>
        </w:rPr>
        <w:t>% de volumen por autocobro vs. cobro asistido con despachador.</w:t>
      </w:r>
    </w:p>
    <w:p>
      <w:pPr>
        <w:pStyle w:val="ListBullet"/>
      </w:pPr>
      <w:r>
        <w:rPr>
          <w:rFonts w:ascii="Calibri" w:hAnsi="Calibri"/>
          <w:sz w:val="22"/>
        </w:rPr>
        <w:t>Ticket promedio en autocobro vs. tradicional.</w:t>
      </w:r>
    </w:p>
    <w:p>
      <w:pPr>
        <w:pStyle w:val="ListBullet"/>
      </w:pPr>
      <w:r>
        <w:rPr>
          <w:rFonts w:ascii="Calibri" w:hAnsi="Calibri"/>
          <w:sz w:val="22"/>
        </w:rPr>
        <w:t>Curva de adopción semanal y franjas horarias de mayor uso.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Bloque 2: Calidad Técnica vs. Competencia (NetPay)</w:t>
      </w:r>
    </w:p>
    <w:p>
      <w:pPr>
        <w:pStyle w:val="ListBullet"/>
      </w:pPr>
      <w:r>
        <w:rPr>
          <w:rFonts w:ascii="Calibri" w:hAnsi="Calibri"/>
          <w:b/>
          <w:color w:val="0F172A"/>
        </w:rPr>
        <w:t>Tasa de aprobación transaccional real</w:t>
      </w:r>
      <w:r>
        <w:rPr>
          <w:rFonts w:ascii="Calibri" w:hAnsi="Calibri"/>
          <w:sz w:val="22"/>
        </w:rPr>
        <w:t xml:space="preserve"> (comparada contra el 98% que presume la competencia).</w:t>
      </w:r>
    </w:p>
    <w:p>
      <w:pPr>
        <w:pStyle w:val="ListBullet"/>
      </w:pPr>
      <w:r>
        <w:rPr>
          <w:rFonts w:ascii="Calibri" w:hAnsi="Calibri"/>
          <w:sz w:val="22"/>
        </w:rPr>
        <w:t>Tasa de fallas de integración con el software volumétrico.</w:t>
      </w:r>
    </w:p>
    <w:p>
      <w:pPr>
        <w:pStyle w:val="ListBullet"/>
      </w:pPr>
      <w:r>
        <w:rPr>
          <w:rFonts w:ascii="Calibri" w:hAnsi="Calibri"/>
          <w:sz w:val="22"/>
        </w:rPr>
        <w:t>Tiempo de respuesta punta a punta (desde que se inserta la tarjeta hasta que el dispensario autoriza).</w:t>
      </w:r>
    </w:p>
    <w:p>
      <w:pPr>
        <w:pStyle w:val="ListBullet"/>
      </w:pPr>
      <w:r>
        <w:rPr>
          <w:rFonts w:ascii="Calibri" w:hAnsi="Calibri"/>
          <w:sz w:val="22"/>
        </w:rPr>
        <w:t>Incidencias mensuales y tiempo de resolución de soporte.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Bloque 3: Impacto Financiero en la Estación</w:t>
      </w:r>
    </w:p>
    <w:p>
      <w:pPr>
        <w:pStyle w:val="ListBullet"/>
      </w:pPr>
      <w:r>
        <w:rPr>
          <w:rFonts w:ascii="Calibri" w:hAnsi="Calibri"/>
          <w:sz w:val="22"/>
        </w:rPr>
        <w:t>Tiempo de despacho por vehículo (antes vs. después).</w:t>
      </w:r>
    </w:p>
    <w:p>
      <w:pPr>
        <w:pStyle w:val="ListBullet"/>
      </w:pPr>
      <w:r>
        <w:rPr>
          <w:rFonts w:ascii="Calibri" w:hAnsi="Calibri"/>
          <w:sz w:val="22"/>
        </w:rPr>
        <w:t>Vehículos atendidos por hora en picos de tráfico.</w:t>
      </w:r>
    </w:p>
    <w:p>
      <w:pPr>
        <w:pStyle w:val="ListBullet"/>
      </w:pPr>
      <w:r>
        <w:rPr>
          <w:rFonts w:ascii="Calibri" w:hAnsi="Calibri"/>
          <w:sz w:val="22"/>
        </w:rPr>
        <w:t>Reducción o reasignación real de costo laboral en caja.</w:t>
      </w:r>
    </w:p>
    <w:p>
      <w:pPr>
        <w:pStyle w:val="ListBullet"/>
      </w:pPr>
      <w:r>
        <w:rPr>
          <w:rFonts w:ascii="Calibri" w:hAnsi="Calibri"/>
          <w:b/>
          <w:color w:val="0F172A"/>
        </w:rPr>
        <w:t>Testimonial / Cita textual del cliente</w:t>
      </w:r>
      <w:r>
        <w:rPr>
          <w:rFonts w:ascii="Calibri" w:hAnsi="Calibri"/>
          <w:sz w:val="22"/>
        </w:rPr>
        <w:t xml:space="preserve"> (Vale más que cualquier estadística genérica).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Bloque 4: Economía de la Implementación &amp; Margen Net</w:t>
      </w:r>
    </w:p>
    <w:p>
      <w:pPr>
        <w:pStyle w:val="ListBullet"/>
      </w:pPr>
      <w:r>
        <w:rPr>
          <w:rFonts w:ascii="Calibri" w:hAnsi="Calibri"/>
          <w:sz w:val="22"/>
        </w:rPr>
        <w:t>Costo real de hardware + instalación + integración por estación.</w:t>
      </w:r>
    </w:p>
    <w:p>
      <w:pPr>
        <w:pStyle w:val="ListBullet"/>
      </w:pPr>
      <w:r>
        <w:rPr>
          <w:rFonts w:ascii="Calibri" w:hAnsi="Calibri"/>
          <w:sz w:val="22"/>
        </w:rPr>
        <w:t>Tiempo real de despliegue de la primera a la última estación.</w:t>
      </w:r>
    </w:p>
    <w:p>
      <w:pPr>
        <w:pStyle w:val="ListBullet"/>
      </w:pPr>
      <w:r>
        <w:rPr>
          <w:rFonts w:ascii="Calibri" w:hAnsi="Calibri"/>
          <w:b/>
          <w:color w:val="0F172A"/>
        </w:rPr>
        <w:t>Margen neto de PayMind por estación activa</w:t>
      </w:r>
      <w:r>
        <w:rPr>
          <w:rFonts w:ascii="Calibri" w:hAnsi="Calibri"/>
          <w:sz w:val="22"/>
        </w:rPr>
        <w:t xml:space="preserve"> libre de soporte.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💬 4. Discurso Directo para la Dirección General de PayMind</w:t>
      </w:r>
    </w:p>
    <w:p>
      <w:pPr>
        <w:ind w:left="576"/>
      </w:pPr>
      <w:r>
        <w:rPr>
          <w:rFonts w:ascii="Calibri" w:hAnsi="Calibri"/>
          <w:i/>
          <w:color w:val="475569"/>
        </w:rPr>
        <w:t>**“Antes de vender una estrategia de alianzas a nivel nacional o gastar en agencias externas, necesito 30 días y acceso a los datos operativos reales del caso ORSAN. Sin eso, estamos vendiendo una hipótesis con el nombre de un caso real pegado encima.**</w:t>
      </w:r>
    </w:p>
    <w:p>
      <w:r>
        <w:rPr>
          <w:rFonts w:ascii="Calibri" w:hAnsi="Calibri"/>
          <w:sz w:val="22"/>
        </w:rPr>
        <w:t>&gt;</w:t>
      </w:r>
    </w:p>
    <w:p>
      <w:pPr>
        <w:ind w:left="576"/>
      </w:pPr>
      <w:r>
        <w:rPr>
          <w:rFonts w:ascii="Calibri" w:hAnsi="Calibri"/>
          <w:i/>
          <w:color w:val="475569"/>
        </w:rPr>
        <w:t>**Con la evidencia empírica de ORSAN en la mano, ameritamos 1 software volumétrico de independientes y cerramos el clúster regional en 90 días con cero especulación.”**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