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🏛️ ANÁLISIS DE IMPACTO REGULATORIO: ANTEPROYECTO CNBV / BANXICO Y SU EFECTO EN PAYMIND</w:t>
      </w:r>
    </w:p>
    <w:p>
      <w:pPr>
        <w:ind w:left="576"/>
      </w:pPr>
      <w:r>
        <w:rPr>
          <w:rFonts w:ascii="Calibri" w:hAnsi="Calibri"/>
          <w:i/>
          <w:color w:val="475569"/>
        </w:rPr>
        <w:t>**Fecha de Publicación del Anteproyecto:** Agosto de 2026</w:t>
      </w:r>
    </w:p>
    <w:p>
      <w:pPr>
        <w:ind w:left="576"/>
      </w:pPr>
      <w:r>
        <w:rPr>
          <w:rFonts w:ascii="Calibri" w:hAnsi="Calibri"/>
          <w:i/>
          <w:color w:val="475569"/>
        </w:rPr>
        <w:t>**Emisores:** Comisión Nacional Bancaria y de Valores (CNBV) y Banco de México (Banxico)</w:t>
      </w:r>
    </w:p>
    <w:p>
      <w:pPr>
        <w:ind w:left="576"/>
      </w:pPr>
      <w:r>
        <w:rPr>
          <w:rFonts w:ascii="Calibri" w:hAnsi="Calibri"/>
          <w:i/>
          <w:color w:val="475569"/>
        </w:rPr>
        <w:t>**Normativa:** Disposiciones de Carácter General Aplicables a las Redes de Medios de Disposición</w:t>
      </w:r>
    </w:p>
    <w:p>
      <w:pPr>
        <w:ind w:left="576"/>
      </w:pPr>
      <w:r>
        <w:rPr>
          <w:rFonts w:ascii="Calibri" w:hAnsi="Calibri"/>
          <w:i/>
          <w:color w:val="475569"/>
        </w:rPr>
        <w:t>**Para:** Dirección General de PayMind | Antonio Gutiérrez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📌 1. Resumen Ejecutivo del Anteproyecto</w:t>
      </w:r>
    </w:p>
    <w:p>
      <w:r>
        <w:rPr>
          <w:rFonts w:ascii="Calibri" w:hAnsi="Calibri"/>
          <w:sz w:val="22"/>
        </w:rPr>
        <w:t>La CNBV y Banco de México emitieron un anteproyecto regulatorio histórico derivado de las investigaciones de COFECE (expediente IEBC-005-2018) para eliminar barreras a la competencia en el mercado de pagos con tarjeta en México. Los ejes centrales son: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Topes a Cuotas de Intercambio (Art. 56):</w:t>
      </w:r>
    </w:p>
    <w:p>
      <w:pPr>
        <w:pStyle w:val="ListBullet"/>
      </w:pPr>
      <w:r>
        <w:rPr>
          <w:rFonts w:ascii="Calibri" w:hAnsi="Calibri"/>
          <w:b/>
          <w:color w:val="0F172A"/>
        </w:rPr>
        <w:t>Débito:</w:t>
      </w:r>
      <w:r>
        <w:rPr>
          <w:rFonts w:ascii="Calibri" w:hAnsi="Calibri"/>
          <w:sz w:val="22"/>
        </w:rPr>
        <w:t xml:space="preserve"> Máximo </w:t>
      </w:r>
      <w:r>
        <w:rPr>
          <w:rFonts w:ascii="Calibri" w:hAnsi="Calibri"/>
          <w:b/>
          <w:color w:val="0F172A"/>
        </w:rPr>
        <w:t>$10.80 MXN por operación</w:t>
      </w:r>
      <w:r>
        <w:rPr>
          <w:rFonts w:ascii="Calibri" w:hAnsi="Calibri"/>
          <w:sz w:val="22"/>
        </w:rPr>
        <w:t xml:space="preserve"> y límite anual del </w:t>
      </w:r>
      <w:r>
        <w:rPr>
          <w:rFonts w:ascii="Calibri" w:hAnsi="Calibri"/>
          <w:b/>
          <w:color w:val="0F172A"/>
        </w:rPr>
        <w:t>0.30%</w:t>
      </w:r>
      <w:r>
        <w:rPr>
          <w:rFonts w:ascii="Calibri" w:hAnsi="Calibri"/>
          <w:sz w:val="22"/>
        </w:rPr>
        <w:t xml:space="preserve"> sobre el volumen operado.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Crédito:</w:t>
      </w:r>
      <w:r>
        <w:rPr>
          <w:rFonts w:ascii="Calibri" w:hAnsi="Calibri"/>
          <w:sz w:val="22"/>
        </w:rPr>
        <w:t xml:space="preserve"> Máximo </w:t>
      </w:r>
      <w:r>
        <w:rPr>
          <w:rFonts w:ascii="Calibri" w:hAnsi="Calibri"/>
          <w:b/>
          <w:color w:val="0F172A"/>
        </w:rPr>
        <w:t>1.30% por operación</w:t>
      </w:r>
      <w:r>
        <w:rPr>
          <w:rFonts w:ascii="Calibri" w:hAnsi="Calibri"/>
          <w:sz w:val="22"/>
        </w:rPr>
        <w:t xml:space="preserve"> y límite anual del </w:t>
      </w:r>
      <w:r>
        <w:rPr>
          <w:rFonts w:ascii="Calibri" w:hAnsi="Calibri"/>
          <w:b/>
          <w:color w:val="0F172A"/>
        </w:rPr>
        <w:t>1.00%</w:t>
      </w:r>
      <w:r>
        <w:rPr>
          <w:rFonts w:ascii="Calibri" w:hAnsi="Calibri"/>
          <w:sz w:val="22"/>
        </w:rPr>
        <w:t xml:space="preserve"> sobre el volumen operado.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Transparencia Obligatoria a Comercios (Art. 39, 40 y Anexo 2):</w:t>
      </w:r>
      <w:r>
        <w:rPr>
          <w:rFonts w:ascii="Calibri" w:hAnsi="Calibri"/>
          <w:sz w:val="22"/>
        </w:rPr>
        <w:t xml:space="preserve"> Desglose explícito en estados de cuenta de la Tasa de Descuento, Cuota de Intercambio aplicada y Comisiones.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Prohibición Estricta de "Ventas Atadas" y Exclusividades (Art. 6 y Art. 23):</w:t>
      </w:r>
      <w:r>
        <w:rPr>
          <w:rFonts w:ascii="Calibri" w:hAnsi="Calibri"/>
          <w:sz w:val="22"/>
        </w:rPr>
        <w:t xml:space="preserve"> Se prohíbe condicionar el cobro con tarjeta a contratar cuentas o productos bancarios obligatorios.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color w:val="0F172A"/>
        </w:rPr>
        <w:t>Interoperabilidad Obligatoria (Art. 19):</w:t>
      </w:r>
      <w:r>
        <w:rPr>
          <w:rFonts w:ascii="Calibri" w:hAnsi="Calibri"/>
          <w:sz w:val="22"/>
        </w:rPr>
        <w:t xml:space="preserve"> Cero bloqueos entre redes de medios de disposición y cámaras de compensación.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🚀 2. Los 3 Grandiosos Vientos a Favor para PayMind en Gasolineras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    OPORTUNIDADES DE MERCADO PARA PAYMIND      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1. REDUCCIÓN DE COSTOS DE INTERCAMBIO ➔ Gasolineros ganan mayor margen     │</w:t>
      </w:r>
    </w:p>
    <w:p>
      <w:r>
        <w:rPr>
          <w:rFonts w:ascii="Calibri" w:hAnsi="Calibri"/>
          <w:sz w:val="22"/>
        </w:rPr>
        <w:t>│ 2. DESGLOSE OBLIGATORIO Y TRANSPARENCIA ➔ Exposición de abusos bancarios   │</w:t>
      </w:r>
    </w:p>
    <w:p>
      <w:r>
        <w:rPr>
          <w:rFonts w:ascii="Calibri" w:hAnsi="Calibri"/>
          <w:sz w:val="22"/>
        </w:rPr>
        <w:t>│ 3. PROHIBICIÓN DE VENTAS ATADAS         ➔ Libertad de adquirencia abierta    │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Oportunidad 1: Reducción del Costo de Intercambio en Gasolineras</w:t>
      </w:r>
    </w:p>
    <w:p>
      <w:r>
        <w:rPr>
          <w:rFonts w:ascii="Calibri" w:hAnsi="Calibri"/>
          <w:sz w:val="22"/>
        </w:rPr>
        <w:t xml:space="preserve">En el sector gasolinero (donde los márgenes son de 1% o menos por litro), el pago con tarjeta de crédito solía castigar a la estación con cuotas de intercambio elevadas. Al topar el intercambio en </w:t>
      </w:r>
      <w:r>
        <w:rPr>
          <w:rFonts w:ascii="Calibri" w:hAnsi="Calibri"/>
          <w:b/>
          <w:color w:val="0F172A"/>
        </w:rPr>
        <w:t>1.30% crédito</w:t>
      </w:r>
      <w:r>
        <w:rPr>
          <w:rFonts w:ascii="Calibri" w:hAnsi="Calibri"/>
          <w:sz w:val="22"/>
        </w:rPr>
        <w:t xml:space="preserve"> y </w:t>
      </w:r>
      <w:r>
        <w:rPr>
          <w:rFonts w:ascii="Calibri" w:hAnsi="Calibri"/>
          <w:b/>
          <w:color w:val="0F172A"/>
        </w:rPr>
        <w:t>$10.80 MXN / 0.30% débito</w:t>
      </w:r>
      <w:r>
        <w:rPr>
          <w:rFonts w:ascii="Calibri" w:hAnsi="Calibri"/>
          <w:sz w:val="22"/>
        </w:rPr>
        <w:t>, el costo de procesamiento mayorista disminuye drásticamente.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sz w:val="22"/>
        </w:rPr>
        <w:t xml:space="preserve"> PayMind puede ofrecer a las gasolineras tarifas adquirentes más competitivas y al mismo tiempo mantener un </w:t>
      </w:r>
      <w:r>
        <w:rPr>
          <w:rFonts w:ascii="Calibri" w:hAnsi="Calibri"/>
          <w:b/>
          <w:color w:val="0F172A"/>
        </w:rPr>
        <w:t>margen neto más saludable por transacción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Oportunidad 2: Desglose Obligatorio (Anexo 2) y Fin de la Opacidad Bancaria</w:t>
      </w:r>
    </w:p>
    <w:p>
      <w:r>
        <w:rPr>
          <w:rFonts w:ascii="Calibri" w:hAnsi="Calibri"/>
          <w:sz w:val="22"/>
        </w:rPr>
        <w:t xml:space="preserve">Los bancos tradicionales solían cobrar una "Tasa de Descuento global" sin transparentar cuánto era comisión del banco emisor y cuánto era ganancia del adquirente. Con el </w:t>
      </w:r>
      <w:r>
        <w:rPr>
          <w:rFonts w:ascii="Calibri" w:hAnsi="Calibri"/>
          <w:b/>
          <w:color w:val="0F172A"/>
        </w:rPr>
        <w:t>Anexo 2</w:t>
      </w:r>
      <w:r>
        <w:rPr>
          <w:rFonts w:ascii="Calibri" w:hAnsi="Calibri"/>
          <w:sz w:val="22"/>
        </w:rPr>
        <w:t>, los comercios recibirán un reporte mensual desglosado.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sz w:val="22"/>
        </w:rPr>
        <w:t xml:space="preserve"> Con la transparencia obligatoria, el gasolinero verá exactamente cuánto le cobra su banco actual. PayMind puede usar esta transparencia para mostrar el ahorro directo al migrar a la pasarela multi-adquirente de PayMind.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Oportunidad 3: Libertad de Elección (Sin Ventas Atadas - Art. 6 y Art. 23)</w:t>
      </w:r>
    </w:p>
    <w:p>
      <w:r>
        <w:rPr>
          <w:rFonts w:ascii="Calibri" w:hAnsi="Calibri"/>
          <w:sz w:val="22"/>
        </w:rPr>
        <w:t>La regulación prohíbe que un banco exija al gasolinero tener la cuenta de depósito con ellos para permitirle cobrar en la bomba.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sz w:val="22"/>
        </w:rPr>
        <w:t xml:space="preserve"> Esto respalda 100% nuestra propuesta comercial de </w:t>
      </w:r>
      <w:r>
        <w:rPr>
          <w:rFonts w:ascii="Calibri" w:hAnsi="Calibri"/>
          <w:b/>
          <w:color w:val="0F172A"/>
        </w:rPr>
        <w:t>"Trae tu propio banco (BBVA, BanBajío, Afirme) y mantén tus depósitos T+1 sin ataduras"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🛡️ 3. Retos de Compliance y Requisitos Operativos para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Aspecto Regulatorio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Exigencia CNBV / Banxico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Estrategia de Mitigación PayMind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Registro de Participante (Art. 63)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Registro ante CNBV 3 meses antes de operar como Agregador / Empresa Especializada.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Operar en alianza técnica con Adquirentes Registrados (BBVA, BanBajío, Afirme) o registrarse como Empresa Especializada (Anexo 5).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Seguridad de la Información (Anexo 4)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Cifrado HSM, ISO/IEC 7812, lectura de Chip/NFC y llaves criptográficas.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Las terminales SmartPOS Nexgo PCI 6.x / ATEX ya cuentan con HSM y certificación internacional.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Continuidad de Negocio (Anexo 3)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Plan de Continuidad RTO/RPO con reporte de caídas a CNBV en 60-120 min.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Diseñar la arquitectura con modo degradado offline en la bomba si falla la red.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Reportes Regulatorios Serie R24 (Art. 66)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Reporte mensual/trimestral de transacciones, tasas y reclamos (Anexo 1).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Implementar contabilidad transaccional automatizada en el backend de PayMind.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💡 4. Ajuste Inmediato en la Narrativa Comercial</w:t>
      </w:r>
    </w:p>
    <w:p>
      <w:r>
        <w:rPr>
          <w:rFonts w:ascii="Calibri" w:hAnsi="Calibri"/>
          <w:sz w:val="22"/>
        </w:rPr>
        <w:t xml:space="preserve">Este anteproyecto es el </w:t>
      </w:r>
      <w:r>
        <w:rPr>
          <w:rFonts w:ascii="Calibri" w:hAnsi="Calibri"/>
          <w:b/>
          <w:color w:val="0F172A"/>
        </w:rPr>
        <w:t>"Por Qué Ahora" regulatorio perfecto</w:t>
      </w:r>
      <w:r>
        <w:rPr>
          <w:rFonts w:ascii="Calibri" w:hAnsi="Calibri"/>
          <w:sz w:val="22"/>
        </w:rPr>
        <w:t xml:space="preserve"> para PayMind:</w:t>
      </w:r>
    </w:p>
    <w:p>
      <w:pPr>
        <w:ind w:left="576"/>
      </w:pPr>
      <w:r>
        <w:rPr>
          <w:rFonts w:ascii="Calibri" w:hAnsi="Calibri"/>
          <w:i/>
          <w:color w:val="475569"/>
        </w:rPr>
        <w:t>**“Con el nuevo anteproyecto de la CNBV y Banxico que topa las cuotas de intercambio y prohíbe las ventas atadas bancarias, las estaciones de servicio tienen la libertad legal de exigir comisiones transparentes y depósitos T+1 sin cambiar de banco. PayMind integra la tecnología en bomba para aprovechar este nuevo marco regulatorio desde hoy.”**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