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🛡️ PLAN DE AJUSTES ANTI-HUMO Y DISTINCIÓN COMPLEJO VS. COMPLICADO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**Versión de Auditoría Operativa — 27 de agosto de 2026**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**Autor:** Antonio Gutiérrez | Consultor de Crecimiento &amp; Pagos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**Protocolo:** Zero-Assumption &amp; Complejidad B2B (CPS Framework)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🧠 1. Marco Metodológico: Distinguir lo Complicado de lo Complejo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LO COMPLICADO (Problema Técnico Conocido):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Conectar la terminal SmartPOS antichispas (PCI 6.x / ATEX) al dispensario y al sistema volumétrico, ruteando el cobro hacia el banco adquirente actual (BBVA, BanBajío) con depósitos T+1.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*Tratamiento:* Se resuelve con ingeniería de software, APIs y certificación técnica.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LO COMPLEJO (Problema Emergente de Conducta y Adopción):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interacción real del conductor al pie del auto, el uso voluntario del kiosco vs. pago asistido, la dinámica del despachador en hora pico y la conciliación en turno nocturno.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*Tratamiento:* NO se resuelve con promesas en un PDF ni proyecciones de Excel. Se resuelve </w:t>
      </w:r>
      <w:r>
        <w:rPr>
          <w:rFonts w:ascii="Calibri" w:hAnsi="Calibri"/>
          <w:b/>
          <w:color w:val="0F172A"/>
        </w:rPr>
        <w:t>midiendo datos reales en un piloto de 3 a 5 estaciones con línea base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🛠️ 2. Lista de Ajustes Concretos en los Materiales de PayMind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color w:val="334155"/>
          <w:sz w:val="22"/>
        </w:rPr>
        <w:t xml:space="preserve"> Proyecciones de ROI del 82%, cifras de $324,000-$486,000 MXN anuales asumidas y 90.8% de probabilidad matemática.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✉️ 2. Ajuste en las Secuencias de Correo (Snov.io)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color w:val="334155"/>
          <w:sz w:val="22"/>
        </w:rPr>
        <w:t xml:space="preserve"> "Reducción de errores de tecleo al 4.2%", "Aumento de atención en 30%" y frases cliché como "En empresas como la tuya".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Lo que se incluye:</w:t>
      </w:r>
      <w:r>
        <w:rPr>
          <w:rFonts w:ascii="Calibri" w:hAnsi="Calibri"/>
          <w:color w:val="334155"/>
          <w:sz w:val="22"/>
        </w:rPr>
        <w:t xml:space="preserve"> Texto socrático transparente sin asunciones: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*“Ofrecemos conectar el cobro inalámbrico en bomba a su banco actual (BBVA, BanBajío) con depósitos T+1. ¿Están abiertos a platicar 5 minutos para evaluar si esto agiliza su cobranza al pie del auto?”*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💻 3. Ajuste en la Calculadora Web (`paymind-growth-engine.pages.dev`)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color w:val="334155"/>
          <w:sz w:val="22"/>
        </w:rPr>
        <w:t xml:space="preserve"> Métricas hipotéticas de "Retail Media Ads" e "Ingresos por Publicidad".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Lo que se incluye:</w:t>
      </w:r>
      <w:r>
        <w:rPr>
          <w:rFonts w:ascii="Calibri" w:hAnsi="Calibri"/>
          <w:color w:val="334155"/>
          <w:sz w:val="22"/>
        </w:rPr>
        <w:t xml:space="preserve"> Calculadora limpia de </w:t>
      </w:r>
      <w:r>
        <w:rPr>
          <w:rFonts w:ascii="Calibri" w:hAnsi="Calibri"/>
          <w:b/>
          <w:color w:val="0F172A"/>
        </w:rPr>
        <w:t>Ahorro en Tasa de Adquirencia Directa y Conciliación T+1</w:t>
      </w:r>
      <w:r>
        <w:rPr>
          <w:rFonts w:ascii="Calibri" w:hAnsi="Calibri"/>
          <w:color w:val="334155"/>
          <w:sz w:val="22"/>
        </w:rPr>
        <w:t xml:space="preserve"> basada en el volumen transaccionado introducido por la gasolinera.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🤝 4. Ajuste en la Estrategia de Alianzas (Partnerships)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color w:val="334155"/>
          <w:sz w:val="22"/>
        </w:rPr>
        <w:t xml:space="preserve"> Cifras de "Revenue Share del 5-10%" y planes de atacar 4 frentes simultáneos.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Lo que se incluye:</w:t>
      </w:r>
      <w:r>
        <w:rPr>
          <w:rFonts w:ascii="Calibri" w:hAnsi="Calibri"/>
          <w:color w:val="334155"/>
          <w:sz w:val="22"/>
        </w:rPr>
        <w:t xml:space="preserve"> Modelo de </w:t>
      </w:r>
      <w:r>
        <w:rPr>
          <w:rFonts w:ascii="Calibri" w:hAnsi="Calibri"/>
          <w:b/>
          <w:color w:val="0F172A"/>
        </w:rPr>
        <w:t>Integración Certificada con Volumétricos Independientes (eGas, NexusFuel)</w:t>
      </w:r>
      <w:r>
        <w:rPr>
          <w:rFonts w:ascii="Calibri" w:hAnsi="Calibri"/>
          <w:color w:val="334155"/>
          <w:sz w:val="22"/>
        </w:rPr>
        <w:t xml:space="preserve"> + </w:t>
      </w:r>
      <w:r>
        <w:rPr>
          <w:rFonts w:ascii="Calibri" w:hAnsi="Calibri"/>
          <w:b/>
          <w:color w:val="0F172A"/>
        </w:rPr>
        <w:t>Alianza de Despliegue Local con Integradores</w:t>
      </w:r>
      <w:r>
        <w:rPr>
          <w:rFonts w:ascii="Calibri" w:hAnsi="Calibri"/>
          <w:color w:val="334155"/>
          <w:sz w:val="22"/>
        </w:rPr>
        <w:t>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🎯 5. Ajuste en la Propuesta al CEO de PayMind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color w:val="334155"/>
          <w:sz w:val="22"/>
        </w:rPr>
        <w:t xml:space="preserve"> "Vamos a conquistar 500 gasolineras en 12 meses con un ecosistema completo."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Lo que se incluye: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Plan de Foco de 90 Días:</w:t>
      </w:r>
      <w:r>
        <w:rPr>
          <w:rFonts w:ascii="Calibri" w:hAnsi="Calibri"/>
          <w:color w:val="334155"/>
          <w:sz w:val="22"/>
        </w:rPr>
        <w:t xml:space="preserve"> Auditar ORSAN en 30 días ➔ Cerrar 1 volumétrico regional en 60 días ➔ Dominar el clúster Sureste/Península en 90 días.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📋 3. Matriz Resumen de Cambios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Componente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Versión Especulativa (Vieja)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Versión Anti-Humo Zero-Assumption (Nueva)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Pitch Comercial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"Aumenta 30% tu throughput y gana dinero con Ads"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"Conecta cobro en bomba manteniendo tu banco y concilia T+1"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Cuña de Entrada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Kioskos + Retail Media + Lealtad + Anticipos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Cumplimiento Volumétrico + Cobro en Isla T+1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Prueba de Valor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Benchmarks de China (Sinopec) y Brasil (Vibra)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Datos auditados del caso vivo Grupo ORSAN (Mobil)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Metas de Ventas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500 estaciones en 12 meses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3-5 estaciones en piloto ➔ 25 en Mes 9 ➔ 75 en Mes 12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