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pPr>
      <w:r>
        <w:rPr>
          <w:rFonts w:ascii="Calibri" w:hAnsi="Calibri"/>
          <w:b/>
          <w:color w:val="0F172A"/>
          <w:sz w:val="40"/>
        </w:rPr>
        <w:t>Hallazgos iniciales de comunicación sectorial</w:t>
      </w:r>
    </w:p>
    <w:p>
      <w:pPr>
        <w:keepNext/>
        <w:spacing w:before="240" w:after="120"/>
      </w:pPr>
      <w:r>
        <w:rPr>
          <w:rFonts w:ascii="Calibri" w:hAnsi="Calibri"/>
          <w:b/>
          <w:color w:val="2563EB"/>
          <w:sz w:val="32"/>
        </w:rPr>
        <w:t>Nexus Fuel</w:t>
      </w:r>
    </w:p>
    <w:p>
      <w:pPr>
        <w:spacing w:after="80"/>
      </w:pPr>
      <w:r>
        <w:rPr>
          <w:rFonts w:ascii="Calibri" w:hAnsi="Calibri"/>
          <w:color w:val="334155"/>
          <w:sz w:val="22"/>
        </w:rPr>
        <w:t>Fuente: https://www.nexusfuel.com/</w:t>
      </w:r>
    </w:p>
    <w:p>
      <w:pPr>
        <w:spacing w:after="80"/>
      </w:pPr>
      <w:r>
        <w:rPr>
          <w:rFonts w:ascii="Calibri" w:hAnsi="Calibri"/>
          <w:color w:val="334155"/>
          <w:sz w:val="22"/>
        </w:rPr>
        <w:t>Nexus habla al “gasolinero mexicano” y a grupos gasolineros, no a consumidores finales. Su promesa combina transformación digital, solución integral y rol de socio consultor. La arquitectura de oferta cubre control volumétrico, ERP de estación, ERP de comercializadora, distribuidora/fletera/autoconsumo, control flotillero y lealtad. La página pide nombre completo, puesto, correo, teléfono, número de estaciones y fecha para llamar; los puestos sugeridos son Dirección General, Operaciones, Sistemas y Administración y Finanzas.</w:t>
      </w:r>
    </w:p>
    <w:p>
      <w:pPr>
        <w:spacing w:after="80"/>
      </w:pPr>
      <w:r>
        <w:rPr>
          <w:rFonts w:ascii="Calibri" w:hAnsi="Calibri"/>
          <w:color w:val="334155"/>
          <w:sz w:val="22"/>
        </w:rPr>
        <w:t>Mensajes repetidos: información en tiempo real, plataforma web, integración con la base instalada, integraciones con entidades regulatorias y proveedores certificados, reportes operativos/comerciales/contables/financieros y experiencia sectorial. Prueba de confianza: “más de 19 años de experiencia” y logos de grupos líderes. CTA: “agenda un demo” y “más información”.</w:t>
      </w:r>
    </w:p>
    <w:p>
      <w:pPr>
        <w:spacing w:after="80"/>
      </w:pPr>
      <w:r>
        <w:rPr>
          <w:rFonts w:ascii="Calibri" w:hAnsi="Calibri"/>
          <w:color w:val="334155"/>
          <w:sz w:val="22"/>
        </w:rPr>
        <w:t>Lectura para PayMind: el lenguaje sectorial empieza por operación, control, información y continuidad; el rol del proveedor se presenta como acompañamiento tecnológico. La especificidad de puestos y número de estaciones funciona mejor que una lista genérica de beneficios.</w:t>
      </w:r>
    </w:p>
    <w:p>
      <w:pPr>
        <w:keepNext/>
        <w:spacing w:before="240" w:after="120"/>
      </w:pPr>
      <w:r>
        <w:rPr>
          <w:rFonts w:ascii="Calibri" w:hAnsi="Calibri"/>
          <w:b/>
          <w:color w:val="2563EB"/>
          <w:sz w:val="32"/>
        </w:rPr>
        <w:t>ControlGAS / ATIO Group</w:t>
      </w:r>
    </w:p>
    <w:p>
      <w:pPr>
        <w:spacing w:after="80"/>
      </w:pPr>
      <w:r>
        <w:rPr>
          <w:rFonts w:ascii="Calibri" w:hAnsi="Calibri"/>
          <w:color w:val="334155"/>
          <w:sz w:val="22"/>
        </w:rPr>
        <w:t>Fuente: https://controlgas.com.mx/</w:t>
      </w:r>
    </w:p>
    <w:p>
      <w:pPr>
        <w:spacing w:after="80"/>
      </w:pPr>
      <w:r>
        <w:rPr>
          <w:rFonts w:ascii="Calibri" w:hAnsi="Calibri"/>
          <w:color w:val="334155"/>
          <w:sz w:val="22"/>
        </w:rPr>
        <w:t>ATIO comunica historia, cumplimiento y automatización. Declara que ControlGAS fue creado en 1997, conecta dispensarios, administra inventarios en tanques, simplifica datos contables, imprime comprobantes y facturas en islas y por Internet, y administra clientes y flotillas. También comunica licencias para distintos tipos de estaciones y pólizas de soporte y respaldo.</w:t>
      </w:r>
    </w:p>
    <w:p>
      <w:pPr>
        <w:spacing w:after="80"/>
      </w:pPr>
      <w:r>
        <w:rPr>
          <w:rFonts w:ascii="Calibri" w:hAnsi="Calibri"/>
          <w:color w:val="334155"/>
          <w:sz w:val="22"/>
        </w:rPr>
        <w:t>El tono es más institucional y de infraestructura que de marketing de crecimiento. La confianza se construye mediante antigüedad, respaldo tecnológico, cumplimiento regulatorio, modularidad, distribuidores y soporte. CTA: “contactar a un ejecutivo”.</w:t>
      </w:r>
    </w:p>
    <w:p>
      <w:pPr>
        <w:spacing w:after="80"/>
      </w:pPr>
      <w:r>
        <w:rPr>
          <w:rFonts w:ascii="Calibri" w:hAnsi="Calibri"/>
          <w:color w:val="334155"/>
          <w:sz w:val="22"/>
        </w:rPr>
        <w:t>Lectura para PayMind: si quiere hablar con credibilidad ante un gasolinero, debe explicar dónde encaja en la operación existente, qué sistema conecta, qué responsabilidad conserva cada parte y cómo se atienden soporte, continuidad y excepciones.</w:t>
      </w:r>
    </w:p>
    <w:p>
      <w:pPr>
        <w:keepNext/>
        <w:spacing w:before="240" w:after="120"/>
      </w:pPr>
      <w:r>
        <w:rPr>
          <w:rFonts w:ascii="Calibri" w:hAnsi="Calibri"/>
          <w:b/>
          <w:color w:val="2563EB"/>
          <w:sz w:val="32"/>
        </w:rPr>
        <w:t>eGas</w:t>
      </w:r>
    </w:p>
    <w:p>
      <w:pPr>
        <w:spacing w:after="80"/>
      </w:pPr>
      <w:r>
        <w:rPr>
          <w:rFonts w:ascii="Calibri" w:hAnsi="Calibri"/>
          <w:color w:val="334155"/>
          <w:sz w:val="22"/>
        </w:rPr>
        <w:t>Fuente localizada: https://www.egas.com.mx/ y ficha sectorial AMPES: https://www.ampes.mx/portfolio_page/e-gas/</w:t>
      </w:r>
    </w:p>
    <w:p>
      <w:pPr>
        <w:spacing w:after="80"/>
      </w:pPr>
      <w:r>
        <w:rPr>
          <w:rFonts w:ascii="Calibri" w:hAnsi="Calibri"/>
          <w:color w:val="334155"/>
          <w:sz w:val="22"/>
        </w:rPr>
        <w:t>La comunicación visible presenta a eGas como control volumétrico con módulos para actividades administrativas, operativas y de servicios. En canales sociales aparecen mensajes de operación segura, eficiente y controlada, además de cumplimiento, datos acordes con facturación y volúmenes, y módulos como eGas Central.</w:t>
      </w:r>
    </w:p>
    <w:p>
      <w:pPr>
        <w:spacing w:after="80"/>
      </w:pPr>
      <w:r>
        <w:rPr>
          <w:rFonts w:ascii="Calibri" w:hAnsi="Calibri"/>
          <w:color w:val="334155"/>
          <w:sz w:val="22"/>
        </w:rPr>
        <w:t>Lectura para PayMind: el vocabulario ganador del sector no es “disrupción”; es control, seguridad, cumplimiento, confiabilidad, operación y datos consistentes. La prueba más útil para PayMind sería demostrar integración y trazabilidad, no sólo una terminal o una experiencia de pago.</w:t>
      </w:r>
    </w:p>
    <w:p>
      <w:pPr>
        <w:keepNext/>
        <w:spacing w:before="240" w:after="120"/>
      </w:pPr>
      <w:r>
        <w:rPr>
          <w:rFonts w:ascii="Calibri" w:hAnsi="Calibri"/>
          <w:b/>
          <w:color w:val="2563EB"/>
          <w:sz w:val="32"/>
        </w:rPr>
        <w:t>Patrón transversal observado</w:t>
      </w:r>
    </w:p>
    <w:p>
      <w:pPr>
        <w:spacing w:after="80"/>
      </w:pPr>
      <w:r>
        <w:rPr>
          <w:rFonts w:ascii="Calibri" w:hAnsi="Calibri"/>
          <w:color w:val="334155"/>
          <w:sz w:val="22"/>
        </w:rPr>
        <w:t>Los proveedores establecidos venden reducción de incertidumbre operativa. Hablan de estaciones, grupos, dispensarios, inventarios, facturación, reportes, flotillas, regulación, soporte y continuidad. La conversación comercial suele pedir primero escala, puesto y momento para hablar. PayMind debe adaptar su comunicación a ese universo antes de introducir el producto de pagos.</w:t>
      </w:r>
    </w:p>
    <w:p>
      <w:pPr>
        <w:keepNext/>
        <w:spacing w:before="240" w:after="120"/>
      </w:pPr>
      <w:r>
        <w:rPr>
          <w:rFonts w:ascii="Calibri" w:hAnsi="Calibri"/>
          <w:b/>
          <w:color w:val="2563EB"/>
          <w:sz w:val="32"/>
        </w:rPr>
        <w:t>Intelisis Gasolineras</w:t>
      </w:r>
    </w:p>
    <w:p>
      <w:pPr>
        <w:spacing w:after="80"/>
      </w:pPr>
      <w:r>
        <w:rPr>
          <w:rFonts w:ascii="Calibri" w:hAnsi="Calibri"/>
          <w:color w:val="334155"/>
          <w:sz w:val="22"/>
        </w:rPr>
        <w:t>Fuente: https://www.intelisis.com/blog/tome-el-control-total-y-automatizado-de-su-gasolinera-con-intelisis/</w:t>
      </w:r>
    </w:p>
    <w:p>
      <w:pPr>
        <w:spacing w:after="80"/>
      </w:pPr>
      <w:r>
        <w:rPr>
          <w:rFonts w:ascii="Calibri" w:hAnsi="Calibri"/>
          <w:color w:val="334155"/>
          <w:sz w:val="22"/>
        </w:rPr>
        <w:t>Intelisis enmarca la conversación en simplificar flujos de información desde la isla hasta un ERP. Habla de información precisa, confiable, en tiempo real y accesible desde cualquier lugar para tomar decisiones. En la operación menciona facturación en isla, hardware industrial, continuidad 24/7, protección contra pérdida de datos, protocolos con marcas de dispensarios, monitoreo de tanques, control de piso y gestión de flotillas.</w:t>
      </w:r>
    </w:p>
    <w:p>
      <w:pPr>
        <w:spacing w:after="80"/>
      </w:pPr>
      <w:r>
        <w:rPr>
          <w:rFonts w:ascii="Calibri" w:hAnsi="Calibri"/>
          <w:color w:val="334155"/>
          <w:sz w:val="22"/>
        </w:rPr>
        <w:t>El discurso combina productividad con control y cumplimiento: inventario teórico contra físico, IEPS, facturación y disposiciones del SAT. La oferta se presenta como software más hardware y no sólo como una aplicación. El lenguaje de “control total” y “automatización” es más agresivo que el de ATIO, pero está aterrizado en procesos concretos.</w:t>
      </w:r>
    </w:p>
    <w:p>
      <w:pPr>
        <w:keepNext/>
        <w:spacing w:before="240" w:after="120"/>
      </w:pPr>
      <w:r>
        <w:rPr>
          <w:rFonts w:ascii="Calibri" w:hAnsi="Calibri"/>
          <w:b/>
          <w:color w:val="2563EB"/>
          <w:sz w:val="32"/>
        </w:rPr>
        <w:t>Gas Manager</w:t>
      </w:r>
    </w:p>
    <w:p>
      <w:pPr>
        <w:spacing w:after="80"/>
      </w:pPr>
      <w:r>
        <w:rPr>
          <w:rFonts w:ascii="Calibri" w:hAnsi="Calibri"/>
          <w:color w:val="334155"/>
          <w:sz w:val="22"/>
        </w:rPr>
        <w:t>Fuente: https://www.gasmanager.com/</w:t>
      </w:r>
    </w:p>
    <w:p>
      <w:pPr>
        <w:spacing w:after="80"/>
      </w:pPr>
      <w:r>
        <w:rPr>
          <w:rFonts w:ascii="Calibri" w:hAnsi="Calibri"/>
          <w:color w:val="334155"/>
          <w:sz w:val="22"/>
        </w:rPr>
        <w:t>La página es más breve. Usa “seguridad informática”, “verificación de la operación”, “generación de archivos JSON” y el CTA “Agenda una demo”. El cierre “Seamos aliados y crezcamos juntos tu negocio” refuerza un tono de partnership, aunque la prueba visible en la página es limitada.</w:t>
      </w:r>
    </w:p>
    <w:p>
      <w:pPr>
        <w:keepNext/>
        <w:spacing w:before="240" w:after="120"/>
      </w:pPr>
      <w:r>
        <w:rPr>
          <w:rFonts w:ascii="Calibri" w:hAnsi="Calibri"/>
          <w:b/>
          <w:color w:val="2563EB"/>
          <w:sz w:val="32"/>
        </w:rPr>
        <w:t>One Goal ERP / AB Pro Systems</w:t>
      </w:r>
    </w:p>
    <w:p>
      <w:pPr>
        <w:spacing w:after="80"/>
      </w:pPr>
      <w:r>
        <w:rPr>
          <w:rFonts w:ascii="Calibri" w:hAnsi="Calibri"/>
          <w:color w:val="334155"/>
          <w:sz w:val="22"/>
        </w:rPr>
        <w:t>Fuente: https://abprosystems.com/industrias/energeticos/gasolineras/</w:t>
      </w:r>
    </w:p>
    <w:p>
      <w:pPr>
        <w:spacing w:after="80"/>
      </w:pPr>
      <w:r>
        <w:rPr>
          <w:rFonts w:ascii="Calibri" w:hAnsi="Calibri"/>
          <w:color w:val="334155"/>
          <w:sz w:val="22"/>
        </w:rPr>
        <w:t>One Goal usa un lenguaje de centralización y automatización: una plataforma para integrar control volumétrico, POS, contabilidad, ventas y lealtad. Habla de todas las estaciones en un solo lugar, compatibilidad con el control volumétrico, reducción de procesos manuales, monitor de precios de competencia, IA, actualización fiscal, alertas y BI.</w:t>
      </w:r>
    </w:p>
    <w:p>
      <w:pPr>
        <w:spacing w:after="80"/>
      </w:pPr>
      <w:r>
        <w:rPr>
          <w:rFonts w:ascii="Calibri" w:hAnsi="Calibri"/>
          <w:color w:val="334155"/>
          <w:sz w:val="22"/>
        </w:rPr>
        <w:t>Tiene una estructura comercial de página de aterrizaje: titular amplio (“Gasolineras Inteligentes”), beneficios en bloques, módulos y CTA repetido. La prueba social es un testimonio de K Energy con una relación de más de 10 años. El canal de conversión combina formulario, contacto y WhatsApp.</w:t>
      </w:r>
    </w:p>
    <w:p>
      <w:pPr>
        <w:keepNext/>
        <w:spacing w:before="240" w:after="120"/>
      </w:pPr>
      <w:r>
        <w:rPr>
          <w:rFonts w:ascii="Calibri" w:hAnsi="Calibri"/>
          <w:b/>
          <w:color w:val="2563EB"/>
          <w:sz w:val="32"/>
        </w:rPr>
        <w:t>Comparación preliminar</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0F172A"/>
          </w:tcPr>
          <w:p>
            <w:pPr>
              <w:spacing w:after="40" w:before="40"/>
            </w:pPr>
            <w:r>
              <w:rPr>
                <w:rFonts w:ascii="Calibri" w:hAnsi="Calibri"/>
                <w:b/>
                <w:color w:val="FFFFFF"/>
                <w:sz w:val="22"/>
              </w:rPr>
              <w:t>Proveedor</w:t>
            </w:r>
          </w:p>
        </w:tc>
        <w:tc>
          <w:tcPr>
            <w:tcW w:type="dxa" w:w="1987"/>
            <w:shd w:fill="0F172A"/>
          </w:tcPr>
          <w:p>
            <w:pPr>
              <w:spacing w:after="40" w:before="40"/>
            </w:pPr>
            <w:r>
              <w:rPr>
                <w:rFonts w:ascii="Calibri" w:hAnsi="Calibri"/>
                <w:b/>
                <w:color w:val="FFFFFF"/>
                <w:sz w:val="22"/>
              </w:rPr>
              <w:t>Entrada de conversación</w:t>
            </w:r>
          </w:p>
        </w:tc>
        <w:tc>
          <w:tcPr>
            <w:tcW w:type="dxa" w:w="1987"/>
            <w:shd w:fill="0F172A"/>
          </w:tcPr>
          <w:p>
            <w:pPr>
              <w:spacing w:after="40" w:before="40"/>
            </w:pPr>
            <w:r>
              <w:rPr>
                <w:rFonts w:ascii="Calibri" w:hAnsi="Calibri"/>
                <w:b/>
                <w:color w:val="FFFFFF"/>
                <w:sz w:val="22"/>
              </w:rPr>
              <w:t>Núcleo de valor</w:t>
            </w:r>
          </w:p>
        </w:tc>
        <w:tc>
          <w:tcPr>
            <w:tcW w:type="dxa" w:w="1987"/>
            <w:shd w:fill="0F172A"/>
          </w:tcPr>
          <w:p>
            <w:pPr>
              <w:spacing w:after="40" w:before="40"/>
            </w:pPr>
            <w:r>
              <w:rPr>
                <w:rFonts w:ascii="Calibri" w:hAnsi="Calibri"/>
                <w:b/>
                <w:color w:val="FFFFFF"/>
                <w:sz w:val="22"/>
              </w:rPr>
              <w:t>Prueba de confianza</w:t>
            </w:r>
          </w:p>
        </w:tc>
        <w:tc>
          <w:tcPr>
            <w:tcW w:type="dxa" w:w="1987"/>
            <w:shd w:fill="0F172A"/>
          </w:tcPr>
          <w:p>
            <w:pPr>
              <w:spacing w:after="40" w:before="40"/>
            </w:pPr>
            <w:r>
              <w:rPr>
                <w:rFonts w:ascii="Calibri" w:hAnsi="Calibri"/>
                <w:b/>
                <w:color w:val="FFFFFF"/>
                <w:sz w:val="22"/>
              </w:rPr>
              <w:t>CTA</w:t>
            </w:r>
          </w:p>
        </w:tc>
      </w:tr>
      <w:tr>
        <w:tc>
          <w:tcPr>
            <w:tcW w:type="dxa" w:w="1987"/>
            <w:shd w:fill="F8FAFC"/>
          </w:tcPr>
          <w:p>
            <w:pPr>
              <w:spacing w:after="40" w:before="40"/>
            </w:pPr>
            <w:r>
              <w:rPr>
                <w:rFonts w:ascii="Calibri" w:hAnsi="Calibri"/>
                <w:color w:val="334155"/>
                <w:sz w:val="22"/>
              </w:rPr>
              <w:t>Nexus Fuel</w:t>
            </w:r>
          </w:p>
        </w:tc>
        <w:tc>
          <w:tcPr>
            <w:tcW w:type="dxa" w:w="1987"/>
            <w:shd w:fill="F8FAFC"/>
          </w:tcPr>
          <w:p>
            <w:pPr>
              <w:spacing w:after="40" w:before="40"/>
            </w:pPr>
            <w:r>
              <w:rPr>
                <w:rFonts w:ascii="Calibri" w:hAnsi="Calibri"/>
                <w:color w:val="334155"/>
                <w:sz w:val="22"/>
              </w:rPr>
              <w:t>Grupo gasolinero mexicano y transformación digital</w:t>
            </w:r>
          </w:p>
        </w:tc>
        <w:tc>
          <w:tcPr>
            <w:tcW w:type="dxa" w:w="1987"/>
            <w:shd w:fill="F8FAFC"/>
          </w:tcPr>
          <w:p>
            <w:pPr>
              <w:spacing w:after="40" w:before="40"/>
            </w:pPr>
            <w:r>
              <w:rPr>
                <w:rFonts w:ascii="Calibri" w:hAnsi="Calibri"/>
                <w:color w:val="334155"/>
                <w:sz w:val="22"/>
              </w:rPr>
              <w:t>Plataforma integral, tiempo real, integraciones y consultoría</w:t>
            </w:r>
          </w:p>
        </w:tc>
        <w:tc>
          <w:tcPr>
            <w:tcW w:type="dxa" w:w="1987"/>
            <w:shd w:fill="F8FAFC"/>
          </w:tcPr>
          <w:p>
            <w:pPr>
              <w:spacing w:after="40" w:before="40"/>
            </w:pPr>
            <w:r>
              <w:rPr>
                <w:rFonts w:ascii="Calibri" w:hAnsi="Calibri"/>
                <w:color w:val="334155"/>
                <w:sz w:val="22"/>
              </w:rPr>
              <w:t>Más de 19 años y logos de grupos</w:t>
            </w:r>
          </w:p>
        </w:tc>
        <w:tc>
          <w:tcPr>
            <w:tcW w:type="dxa" w:w="1987"/>
            <w:shd w:fill="F8FAFC"/>
          </w:tcPr>
          <w:p>
            <w:pPr>
              <w:spacing w:after="40" w:before="40"/>
            </w:pPr>
            <w:r>
              <w:rPr>
                <w:rFonts w:ascii="Calibri" w:hAnsi="Calibri"/>
                <w:color w:val="334155"/>
                <w:sz w:val="22"/>
              </w:rPr>
              <w:t>Demo</w:t>
            </w:r>
          </w:p>
        </w:tc>
      </w:tr>
      <w:tr>
        <w:tc>
          <w:tcPr>
            <w:tcW w:type="dxa" w:w="1987"/>
          </w:tcPr>
          <w:p>
            <w:pPr>
              <w:spacing w:after="40" w:before="40"/>
            </w:pPr>
            <w:r>
              <w:rPr>
                <w:rFonts w:ascii="Calibri" w:hAnsi="Calibri"/>
                <w:color w:val="334155"/>
                <w:sz w:val="22"/>
              </w:rPr>
              <w:t>ATIO / ControlGAS</w:t>
            </w:r>
          </w:p>
        </w:tc>
        <w:tc>
          <w:tcPr>
            <w:tcW w:type="dxa" w:w="1987"/>
          </w:tcPr>
          <w:p>
            <w:pPr>
              <w:spacing w:after="40" w:before="40"/>
            </w:pPr>
            <w:r>
              <w:rPr>
                <w:rFonts w:ascii="Calibri" w:hAnsi="Calibri"/>
                <w:color w:val="334155"/>
                <w:sz w:val="22"/>
              </w:rPr>
              <w:t>Estación de servicio y automatización</w:t>
            </w:r>
          </w:p>
        </w:tc>
        <w:tc>
          <w:tcPr>
            <w:tcW w:type="dxa" w:w="1987"/>
          </w:tcPr>
          <w:p>
            <w:pPr>
              <w:spacing w:after="40" w:before="40"/>
            </w:pPr>
            <w:r>
              <w:rPr>
                <w:rFonts w:ascii="Calibri" w:hAnsi="Calibri"/>
                <w:color w:val="334155"/>
                <w:sz w:val="22"/>
              </w:rPr>
              <w:t>Cumplimiento, dispensarios, inventario, facturación y soporte</w:t>
            </w:r>
          </w:p>
        </w:tc>
        <w:tc>
          <w:tcPr>
            <w:tcW w:type="dxa" w:w="1987"/>
          </w:tcPr>
          <w:p>
            <w:pPr>
              <w:spacing w:after="40" w:before="40"/>
            </w:pPr>
            <w:r>
              <w:rPr>
                <w:rFonts w:ascii="Calibri" w:hAnsi="Calibri"/>
                <w:color w:val="334155"/>
                <w:sz w:val="22"/>
              </w:rPr>
              <w:t>Desde 1997, respaldo Microsoft, licencias y pólizas</w:t>
            </w:r>
          </w:p>
        </w:tc>
        <w:tc>
          <w:tcPr>
            <w:tcW w:type="dxa" w:w="1987"/>
          </w:tcPr>
          <w:p>
            <w:pPr>
              <w:spacing w:after="40" w:before="40"/>
            </w:pPr>
            <w:r>
              <w:rPr>
                <w:rFonts w:ascii="Calibri" w:hAnsi="Calibri"/>
                <w:color w:val="334155"/>
                <w:sz w:val="22"/>
              </w:rPr>
              <w:t>Ejecutivo</w:t>
            </w:r>
          </w:p>
        </w:tc>
      </w:tr>
      <w:tr>
        <w:tc>
          <w:tcPr>
            <w:tcW w:type="dxa" w:w="1987"/>
            <w:shd w:fill="F8FAFC"/>
          </w:tcPr>
          <w:p>
            <w:pPr>
              <w:spacing w:after="40" w:before="40"/>
            </w:pPr>
            <w:r>
              <w:rPr>
                <w:rFonts w:ascii="Calibri" w:hAnsi="Calibri"/>
                <w:color w:val="334155"/>
                <w:sz w:val="22"/>
              </w:rPr>
              <w:t>eGas</w:t>
            </w:r>
          </w:p>
        </w:tc>
        <w:tc>
          <w:tcPr>
            <w:tcW w:type="dxa" w:w="1987"/>
            <w:shd w:fill="F8FAFC"/>
          </w:tcPr>
          <w:p>
            <w:pPr>
              <w:spacing w:after="40" w:before="40"/>
            </w:pPr>
            <w:r>
              <w:rPr>
                <w:rFonts w:ascii="Calibri" w:hAnsi="Calibri"/>
                <w:color w:val="334155"/>
                <w:sz w:val="22"/>
              </w:rPr>
              <w:t>Control volumétrico y gestión integral</w:t>
            </w:r>
          </w:p>
        </w:tc>
        <w:tc>
          <w:tcPr>
            <w:tcW w:type="dxa" w:w="1987"/>
            <w:shd w:fill="F8FAFC"/>
          </w:tcPr>
          <w:p>
            <w:pPr>
              <w:spacing w:after="40" w:before="40"/>
            </w:pPr>
            <w:r>
              <w:rPr>
                <w:rFonts w:ascii="Calibri" w:hAnsi="Calibri"/>
                <w:color w:val="334155"/>
                <w:sz w:val="22"/>
              </w:rPr>
              <w:t>7 módulos, ciberseguridad, conciliación, facturación y lealtad</w:t>
            </w:r>
          </w:p>
        </w:tc>
        <w:tc>
          <w:tcPr>
            <w:tcW w:type="dxa" w:w="1987"/>
            <w:shd w:fill="F8FAFC"/>
          </w:tcPr>
          <w:p>
            <w:pPr>
              <w:spacing w:after="40" w:before="40"/>
            </w:pPr>
            <w:r>
              <w:rPr>
                <w:rFonts w:ascii="Calibri" w:hAnsi="Calibri"/>
                <w:color w:val="334155"/>
                <w:sz w:val="22"/>
              </w:rPr>
              <w:t>20 años, más de 1,500 estaciones, testimonios</w:t>
            </w:r>
          </w:p>
        </w:tc>
        <w:tc>
          <w:tcPr>
            <w:tcW w:type="dxa" w:w="1987"/>
            <w:shd w:fill="F8FAFC"/>
          </w:tcPr>
          <w:p>
            <w:pPr>
              <w:spacing w:after="40" w:before="40"/>
            </w:pPr>
            <w:r>
              <w:rPr>
                <w:rFonts w:ascii="Calibri" w:hAnsi="Calibri"/>
                <w:color w:val="334155"/>
                <w:sz w:val="22"/>
              </w:rPr>
              <w:t>Conocer suite / quiero</w:t>
            </w:r>
          </w:p>
        </w:tc>
      </w:tr>
      <w:tr>
        <w:tc>
          <w:tcPr>
            <w:tcW w:type="dxa" w:w="1987"/>
          </w:tcPr>
          <w:p>
            <w:pPr>
              <w:spacing w:after="40" w:before="40"/>
            </w:pPr>
            <w:r>
              <w:rPr>
                <w:rFonts w:ascii="Calibri" w:hAnsi="Calibri"/>
                <w:color w:val="334155"/>
                <w:sz w:val="22"/>
              </w:rPr>
              <w:t>Intelisis</w:t>
            </w:r>
          </w:p>
        </w:tc>
        <w:tc>
          <w:tcPr>
            <w:tcW w:type="dxa" w:w="1987"/>
          </w:tcPr>
          <w:p>
            <w:pPr>
              <w:spacing w:after="40" w:before="40"/>
            </w:pPr>
            <w:r>
              <w:rPr>
                <w:rFonts w:ascii="Calibri" w:hAnsi="Calibri"/>
                <w:color w:val="334155"/>
                <w:sz w:val="22"/>
              </w:rPr>
              <w:t>Flujos de información y decisiones</w:t>
            </w:r>
          </w:p>
        </w:tc>
        <w:tc>
          <w:tcPr>
            <w:tcW w:type="dxa" w:w="1987"/>
          </w:tcPr>
          <w:p>
            <w:pPr>
              <w:spacing w:after="40" w:before="40"/>
            </w:pPr>
            <w:r>
              <w:rPr>
                <w:rFonts w:ascii="Calibri" w:hAnsi="Calibri"/>
                <w:color w:val="334155"/>
                <w:sz w:val="22"/>
              </w:rPr>
              <w:t>ERP + hardware, operación 24/7, flotillas, datos y cumplimiento</w:t>
            </w:r>
          </w:p>
        </w:tc>
        <w:tc>
          <w:tcPr>
            <w:tcW w:type="dxa" w:w="1987"/>
          </w:tcPr>
          <w:p>
            <w:pPr>
              <w:spacing w:after="40" w:before="40"/>
            </w:pPr>
            <w:r>
              <w:rPr>
                <w:rFonts w:ascii="Calibri" w:hAnsi="Calibri"/>
                <w:color w:val="334155"/>
                <w:sz w:val="22"/>
              </w:rPr>
              <w:t>Plataforma empresarial y especificaciones operativas</w:t>
            </w:r>
          </w:p>
        </w:tc>
        <w:tc>
          <w:tcPr>
            <w:tcW w:type="dxa" w:w="1987"/>
          </w:tcPr>
          <w:p>
            <w:pPr>
              <w:spacing w:after="40" w:before="40"/>
            </w:pPr>
            <w:r>
              <w:rPr>
                <w:rFonts w:ascii="Calibri" w:hAnsi="Calibri"/>
                <w:color w:val="334155"/>
                <w:sz w:val="22"/>
              </w:rPr>
              <w:t>Implícito en contenido/blog</w:t>
            </w:r>
          </w:p>
        </w:tc>
      </w:tr>
      <w:tr>
        <w:tc>
          <w:tcPr>
            <w:tcW w:type="dxa" w:w="1987"/>
            <w:shd w:fill="F8FAFC"/>
          </w:tcPr>
          <w:p>
            <w:pPr>
              <w:spacing w:after="40" w:before="40"/>
            </w:pPr>
            <w:r>
              <w:rPr>
                <w:rFonts w:ascii="Calibri" w:hAnsi="Calibri"/>
                <w:color w:val="334155"/>
                <w:sz w:val="22"/>
              </w:rPr>
              <w:t>One Goal</w:t>
            </w:r>
          </w:p>
        </w:tc>
        <w:tc>
          <w:tcPr>
            <w:tcW w:type="dxa" w:w="1987"/>
            <w:shd w:fill="F8FAFC"/>
          </w:tcPr>
          <w:p>
            <w:pPr>
              <w:spacing w:after="40" w:before="40"/>
            </w:pPr>
            <w:r>
              <w:rPr>
                <w:rFonts w:ascii="Calibri" w:hAnsi="Calibri"/>
                <w:color w:val="334155"/>
                <w:sz w:val="22"/>
              </w:rPr>
              <w:t>Gasolineras inteligentes</w:t>
            </w:r>
          </w:p>
        </w:tc>
        <w:tc>
          <w:tcPr>
            <w:tcW w:type="dxa" w:w="1987"/>
            <w:shd w:fill="F8FAFC"/>
          </w:tcPr>
          <w:p>
            <w:pPr>
              <w:spacing w:after="40" w:before="40"/>
            </w:pPr>
            <w:r>
              <w:rPr>
                <w:rFonts w:ascii="Calibri" w:hAnsi="Calibri"/>
                <w:color w:val="334155"/>
                <w:sz w:val="22"/>
              </w:rPr>
              <w:t>Centralización, automatización, BI, fiscal, lealtad y competencia</w:t>
            </w:r>
          </w:p>
        </w:tc>
        <w:tc>
          <w:tcPr>
            <w:tcW w:type="dxa" w:w="1987"/>
            <w:shd w:fill="F8FAFC"/>
          </w:tcPr>
          <w:p>
            <w:pPr>
              <w:spacing w:after="40" w:before="40"/>
            </w:pPr>
            <w:r>
              <w:rPr>
                <w:rFonts w:ascii="Calibri" w:hAnsi="Calibri"/>
                <w:color w:val="334155"/>
                <w:sz w:val="22"/>
              </w:rPr>
              <w:t>Caso K Energy de más de 10 años</w:t>
            </w:r>
          </w:p>
        </w:tc>
        <w:tc>
          <w:tcPr>
            <w:tcW w:type="dxa" w:w="1987"/>
            <w:shd w:fill="F8FAFC"/>
          </w:tcPr>
          <w:p>
            <w:pPr>
              <w:spacing w:after="40" w:before="40"/>
            </w:pPr>
            <w:r>
              <w:rPr>
                <w:rFonts w:ascii="Calibri" w:hAnsi="Calibri"/>
                <w:color w:val="334155"/>
                <w:sz w:val="22"/>
              </w:rPr>
              <w:t>Contacto / WhatsApp</w:t>
            </w:r>
          </w:p>
        </w:tc>
      </w:tr>
      <w:tr>
        <w:tc>
          <w:tcPr>
            <w:tcW w:type="dxa" w:w="1987"/>
          </w:tcPr>
          <w:p>
            <w:pPr>
              <w:spacing w:after="40" w:before="40"/>
            </w:pPr>
            <w:r>
              <w:rPr>
                <w:rFonts w:ascii="Calibri" w:hAnsi="Calibri"/>
                <w:color w:val="334155"/>
                <w:sz w:val="22"/>
              </w:rPr>
              <w:t>Gas Manager</w:t>
            </w:r>
          </w:p>
        </w:tc>
        <w:tc>
          <w:tcPr>
            <w:tcW w:type="dxa" w:w="1987"/>
          </w:tcPr>
          <w:p>
            <w:pPr>
              <w:spacing w:after="40" w:before="40"/>
            </w:pPr>
            <w:r>
              <w:rPr>
                <w:rFonts w:ascii="Calibri" w:hAnsi="Calibri"/>
                <w:color w:val="334155"/>
                <w:sz w:val="22"/>
              </w:rPr>
              <w:t>Seguridad y verificación</w:t>
            </w:r>
          </w:p>
        </w:tc>
        <w:tc>
          <w:tcPr>
            <w:tcW w:type="dxa" w:w="1987"/>
          </w:tcPr>
          <w:p>
            <w:pPr>
              <w:spacing w:after="40" w:before="40"/>
            </w:pPr>
            <w:r>
              <w:rPr>
                <w:rFonts w:ascii="Calibri" w:hAnsi="Calibri"/>
                <w:color w:val="334155"/>
                <w:sz w:val="22"/>
              </w:rPr>
              <w:t>JSON, operación y seguridad</w:t>
            </w:r>
          </w:p>
        </w:tc>
        <w:tc>
          <w:tcPr>
            <w:tcW w:type="dxa" w:w="1987"/>
          </w:tcPr>
          <w:p>
            <w:pPr>
              <w:spacing w:after="40" w:before="40"/>
            </w:pPr>
            <w:r>
              <w:rPr>
                <w:rFonts w:ascii="Calibri" w:hAnsi="Calibri"/>
                <w:color w:val="334155"/>
                <w:sz w:val="22"/>
              </w:rPr>
              <w:t>Sitio institucional</w:t>
            </w:r>
          </w:p>
        </w:tc>
        <w:tc>
          <w:tcPr>
            <w:tcW w:type="dxa" w:w="1987"/>
          </w:tcPr>
          <w:p>
            <w:pPr>
              <w:spacing w:after="40" w:before="40"/>
            </w:pPr>
            <w:r>
              <w:rPr>
                <w:rFonts w:ascii="Calibri" w:hAnsi="Calibri"/>
                <w:color w:val="334155"/>
                <w:sz w:val="22"/>
              </w:rPr>
              <w:t>Demo</w:t>
            </w:r>
          </w:p>
        </w:tc>
      </w:tr>
    </w:tbl>
    <w:p/>
    <w:p>
      <w:pPr>
        <w:keepNext/>
        <w:spacing w:before="240" w:after="120"/>
      </w:pPr>
      <w:r>
        <w:rPr>
          <w:rFonts w:ascii="Calibri" w:hAnsi="Calibri"/>
          <w:b/>
          <w:color w:val="2563EB"/>
          <w:sz w:val="32"/>
        </w:rPr>
        <w:t>Implicación para PayMind</w:t>
      </w:r>
    </w:p>
    <w:p>
      <w:pPr>
        <w:spacing w:after="80"/>
      </w:pPr>
      <w:r>
        <w:rPr>
          <w:rFonts w:ascii="Calibri" w:hAnsi="Calibri"/>
          <w:color w:val="334155"/>
          <w:sz w:val="22"/>
        </w:rPr>
        <w:t>La comunicación de PayMind debería parecer una pieza de infraestructura que entiende una operación regulada, no una campaña de fintech. La secuencia debe usar palabras como posición, isla, dispensario, sistema de estación, conciliación, facturación, continuidad, integración, operador y grupo; pero sólo cuando se expliquen con precisión y sin asumir que el prospecto vive el problema.</w:t>
      </w:r>
    </w:p>
    <w:p>
      <w:pPr>
        <w:spacing w:after="80"/>
      </w:pPr>
      <w:r>
        <w:rPr>
          <w:rFonts w:ascii="Calibri" w:hAnsi="Calibri"/>
          <w:color w:val="334155"/>
          <w:sz w:val="22"/>
        </w:rPr>
        <w:t>La diferencia no debe ser “somos más innovadores”. Debe ser una pregunta legítima sobre un punto que estos proveedores normalmente cubren de forma amplia: cómo se conecta el pago con lo que ya ocurre en la posición de carga y quién es responsable de que el importe, el dispensario, el sistema y la conciliación queden alineados.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