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Pr>
      <w:r>
        <w:rPr>
          <w:rFonts w:ascii="Calibri" w:hAnsi="Calibri"/>
          <w:b/>
          <w:color w:val="0F172A"/>
          <w:sz w:val="40"/>
        </w:rPr>
        <w:t>Hallazgos sobre métricas públicas de posicionamiento</w:t>
      </w:r>
    </w:p>
    <w:p>
      <w:pPr>
        <w:keepNext/>
        <w:spacing w:before="240" w:after="120"/>
      </w:pPr>
      <w:r>
        <w:rPr>
          <w:rFonts w:ascii="Calibri" w:hAnsi="Calibri"/>
          <w:b/>
          <w:color w:val="2563EB"/>
          <w:sz w:val="32"/>
        </w:rPr>
        <w:t>CoDi / Banco de México</w:t>
      </w:r>
    </w:p>
    <w:p>
      <w:pPr>
        <w:spacing w:after="80"/>
      </w:pPr>
      <w:r>
        <w:rPr>
          <w:rFonts w:ascii="Calibri" w:hAnsi="Calibri"/>
          <w:color w:val="334155"/>
          <w:sz w:val="22"/>
        </w:rPr>
        <w:t>Fuente primaria: https://www.banxico.org.mx/sistemas-de-pago/codi-avances-banco-mexico.html</w:t>
      </w:r>
    </w:p>
    <w:p>
      <w:pPr>
        <w:spacing w:after="80"/>
      </w:pPr>
      <w:r>
        <w:rPr>
          <w:rFonts w:ascii="Calibri" w:hAnsi="Calibri"/>
          <w:color w:val="334155"/>
          <w:sz w:val="22"/>
        </w:rPr>
        <w:t>CoDi se posiciona desde la infraestructura y la regulación, no desde una cuota de estaciones. Banxico publica fecha de inicio de operación, participantes obligados y voluntarios, tiempos promedio de procesamiento, pagos recibidos/liquidados, avisos de procesamiento y contribución a errores. La actualización consultada es del 10 de julio de 2026.</w:t>
      </w:r>
    </w:p>
    <w:p>
      <w:pPr>
        <w:spacing w:after="80"/>
      </w:pPr>
      <w:r>
        <w:rPr>
          <w:rFonts w:ascii="Calibri" w:hAnsi="Calibri"/>
          <w:color w:val="334155"/>
          <w:sz w:val="22"/>
        </w:rPr>
        <w:t>El dato útil de CoDi para un comprador no es “tenemos X gasolineras”, sino disponibilidad del esquema, participantes conectados, tiempos de procesamiento, liquidación y funcionamiento de la infraestructura. CoDi no debe confundirse con un adquirente que controla la relación comercial de una estación.</w:t>
      </w:r>
    </w:p>
    <w:p>
      <w:pPr>
        <w:keepNext/>
        <w:spacing w:before="240" w:after="120"/>
      </w:pPr>
      <w:r>
        <w:rPr>
          <w:rFonts w:ascii="Calibri" w:hAnsi="Calibri"/>
          <w:b/>
          <w:color w:val="2563EB"/>
          <w:sz w:val="32"/>
        </w:rPr>
        <w:t>Clip</w:t>
      </w:r>
    </w:p>
    <w:p>
      <w:pPr>
        <w:spacing w:after="80"/>
      </w:pPr>
      <w:r>
        <w:rPr>
          <w:rFonts w:ascii="Calibri" w:hAnsi="Calibri"/>
          <w:color w:val="334155"/>
          <w:sz w:val="22"/>
        </w:rPr>
        <w:t>Fuente corporativa: https://www.clip.mx/</w:t>
      </w:r>
    </w:p>
    <w:p>
      <w:pPr>
        <w:spacing w:after="80"/>
      </w:pPr>
      <w:r>
        <w:rPr>
          <w:rFonts w:ascii="Calibri" w:hAnsi="Calibri"/>
          <w:color w:val="334155"/>
          <w:sz w:val="22"/>
        </w:rPr>
        <w:t>Clip comunica escala principalmente por producto y economía de aceptación: terminales para distintos tipos de negocio, aceptación de tarjetas, comisión promocional, conectividad, garantía, cobertura nacional, dispersión y herramientas adicionales. En la página pública consultada no aparece una cuota específica de gasolineras.</w:t>
      </w:r>
    </w:p>
    <w:p>
      <w:pPr>
        <w:spacing w:after="80"/>
      </w:pPr>
      <w:r>
        <w:rPr>
          <w:rFonts w:ascii="Calibri" w:hAnsi="Calibri"/>
          <w:color w:val="334155"/>
          <w:sz w:val="22"/>
        </w:rPr>
        <w:t>La métrica de comisión es precio/oferta, no participación de mercado. Las afirmaciones sobre rapidez o dispersión deben leerse con sus condiciones, horarios y posibles variaciones bancarias. Clip también usa métricas de producto como número de terminales, tipos de negocio, días de garantía, cobertura de envío y tiempos de depósito cuando están publicados.</w:t>
      </w:r>
    </w:p>
    <w:p>
      <w:pPr>
        <w:keepNext/>
        <w:spacing w:before="240" w:after="120"/>
      </w:pPr>
      <w:r>
        <w:rPr>
          <w:rFonts w:ascii="Calibri" w:hAnsi="Calibri"/>
          <w:b/>
          <w:color w:val="2563EB"/>
          <w:sz w:val="32"/>
        </w:rPr>
        <w:t>Control volumétrico / ERP</w:t>
      </w:r>
    </w:p>
    <w:p>
      <w:pPr>
        <w:spacing w:after="80"/>
      </w:pPr>
      <w:r>
        <w:rPr>
          <w:rFonts w:ascii="Calibri" w:hAnsi="Calibri"/>
          <w:color w:val="334155"/>
          <w:sz w:val="22"/>
        </w:rPr>
        <w:t>Fuentes primarias consultadas previamente:</w:t>
      </w:r>
    </w:p>
    <w:p>
      <w:pPr>
        <w:pStyle w:val="ListBullet"/>
        <w:spacing w:after="60"/>
      </w:pPr>
      <w:r>
        <w:rPr>
          <w:rFonts w:ascii="Calibri" w:hAnsi="Calibri"/>
          <w:color w:val="334155"/>
          <w:sz w:val="22"/>
        </w:rPr>
        <w:t>https://controlgas.com.mx/</w:t>
      </w:r>
    </w:p>
    <w:p>
      <w:pPr>
        <w:pStyle w:val="ListBullet"/>
        <w:spacing w:after="60"/>
      </w:pPr>
      <w:r>
        <w:rPr>
          <w:rFonts w:ascii="Calibri" w:hAnsi="Calibri"/>
          <w:color w:val="334155"/>
          <w:sz w:val="22"/>
        </w:rPr>
        <w:t>https://www.egas.com.mx/</w:t>
      </w:r>
    </w:p>
    <w:p>
      <w:pPr>
        <w:pStyle w:val="ListBullet"/>
        <w:spacing w:after="60"/>
      </w:pPr>
      <w:r>
        <w:rPr>
          <w:rFonts w:ascii="Calibri" w:hAnsi="Calibri"/>
          <w:color w:val="334155"/>
          <w:sz w:val="22"/>
        </w:rPr>
        <w:t>https://www.intelisis.com/blog/tome-el-control-total-y-automatizado-de-su-gasolinera-con-intelisis/</w:t>
      </w:r>
    </w:p>
    <w:p>
      <w:pPr>
        <w:pStyle w:val="ListBullet"/>
        <w:spacing w:after="60"/>
      </w:pPr>
      <w:r>
        <w:rPr>
          <w:rFonts w:ascii="Calibri" w:hAnsi="Calibri"/>
          <w:color w:val="334155"/>
          <w:sz w:val="22"/>
        </w:rPr>
        <w:t>https://abprosystems.com/industrias/energeticos/gasolineras/</w:t>
      </w:r>
    </w:p>
    <w:p>
      <w:pPr>
        <w:pStyle w:val="ListBullet"/>
        <w:spacing w:after="60"/>
      </w:pPr>
      <w:r>
        <w:rPr>
          <w:rFonts w:ascii="Calibri" w:hAnsi="Calibri"/>
          <w:color w:val="334155"/>
          <w:sz w:val="22"/>
        </w:rPr>
        <w:t>https://www.gasmanager.com/</w:t>
      </w:r>
    </w:p>
    <w:p>
      <w:pPr>
        <w:spacing w:after="80"/>
      </w:pPr>
      <w:r>
        <w:rPr>
          <w:rFonts w:ascii="Calibri" w:hAnsi="Calibri"/>
          <w:color w:val="334155"/>
          <w:sz w:val="22"/>
        </w:rPr>
        <w:t>Estos proveedores usan principalmente años de operación, número declarado de estaciones, módulos, tipos de estación, compatibilidad con dispensarios, soporte/pólizas, actualización normativa, testimonios de clientes y cobertura de grupos. eGas declara 20 años y más de 1,500 estaciones; ATIO declara origen de ControlGAS en 1997; One Goal muestra un caso de K Energy con una relación de más de 10 años. Son declaraciones corporativas y no equivalen automáticamente a auditoría independiente.</w:t>
      </w:r>
    </w:p>
    <w:p>
      <w:pPr>
        <w:spacing w:after="80"/>
      </w:pPr>
      <w:r>
        <w:rPr>
          <w:rFonts w:ascii="Calibri" w:hAnsi="Calibri"/>
          <w:color w:val="334155"/>
          <w:sz w:val="22"/>
        </w:rPr>
        <w:t>Las métricas operativas más frecuentes son: tiempo real, disponibilidad/operación 24/7, número de módulos, cantidad de estaciones o dispensarios soportados, trazabilidad, conciliación, tiempos de actualización, compatibilidad y soporte. Muchas se presentan como capacidades del producto, no como resultados medidos en clientes.</w:t>
      </w:r>
    </w:p>
    <w:p>
      <w:pPr>
        <w:keepNext/>
        <w:spacing w:before="240" w:after="120"/>
      </w:pPr>
      <w:r>
        <w:rPr>
          <w:rFonts w:ascii="Calibri" w:hAnsi="Calibri"/>
          <w:b/>
          <w:color w:val="2563EB"/>
          <w:sz w:val="32"/>
        </w:rPr>
        <w:t>Regla de interpretación</w:t>
      </w:r>
    </w:p>
    <w:p>
      <w:pPr>
        <w:spacing w:after="80"/>
      </w:pPr>
      <w:r>
        <w:rPr>
          <w:rFonts w:ascii="Calibri" w:hAnsi="Calibri"/>
          <w:color w:val="334155"/>
          <w:sz w:val="22"/>
        </w:rPr>
        <w:t>Una métrica de escala responde “qué tan extendido dice estar el proveedor”. Una métrica de capacidad responde “qué puede hacer el producto”. Una métrica de resultado responde “qué cambió medido en el cliente”. Una métrica de precio responde “cuánto cuesta o qué incentivo ofrece”. No deben mezclarse como si fueran equivalentes.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