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🏛️ ANÁLISIS DE IMPACTO REGULATORIO: ANTEPROYECTO CNBV / BANXICO Y SU EFECTO EN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**Fecha de Publicación del Anteproyecto:** Agosto de 2026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**Emisores:** Comisión Nacional Bancaria y de Valores (CNBV) y Banco de México (Banxico)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**Normativa:** Disposiciones de Carácter General Aplicables a las Redes de Medios de Disposición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**Para:** Dirección General de PayMind | 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📌 1. Resumen Ejecutivo del Anteproyecto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CNBV y Banco de México emitieron un anteproyecto regulatorio histórico derivado de las investigaciones de COFECE (expediente IEBC-005-2018) para eliminar barreras a la competencia en el mercado de pagos con tarjeta en México. Los ejes centrales son: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Topes a Cuotas de Intercambio (Art. 56):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Débito:</w:t>
      </w:r>
      <w:r>
        <w:rPr>
          <w:rFonts w:ascii="Calibri" w:hAnsi="Calibri"/>
          <w:color w:val="334155"/>
          <w:sz w:val="22"/>
        </w:rPr>
        <w:t xml:space="preserve"> Máximo </w:t>
      </w:r>
      <w:r>
        <w:rPr>
          <w:rFonts w:ascii="Calibri" w:hAnsi="Calibri"/>
          <w:b/>
          <w:color w:val="0F172A"/>
        </w:rPr>
        <w:t>$10.80 MXN por operación</w:t>
      </w:r>
      <w:r>
        <w:rPr>
          <w:rFonts w:ascii="Calibri" w:hAnsi="Calibri"/>
          <w:color w:val="334155"/>
          <w:sz w:val="22"/>
        </w:rPr>
        <w:t xml:space="preserve"> y límite anual del </w:t>
      </w:r>
      <w:r>
        <w:rPr>
          <w:rFonts w:ascii="Calibri" w:hAnsi="Calibri"/>
          <w:b/>
          <w:color w:val="0F172A"/>
        </w:rPr>
        <w:t>0.30%</w:t>
      </w:r>
      <w:r>
        <w:rPr>
          <w:rFonts w:ascii="Calibri" w:hAnsi="Calibri"/>
          <w:color w:val="334155"/>
          <w:sz w:val="22"/>
        </w:rPr>
        <w:t xml:space="preserve"> sobre el volumen operado.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Crédito:</w:t>
      </w:r>
      <w:r>
        <w:rPr>
          <w:rFonts w:ascii="Calibri" w:hAnsi="Calibri"/>
          <w:color w:val="334155"/>
          <w:sz w:val="22"/>
        </w:rPr>
        <w:t xml:space="preserve"> Máximo </w:t>
      </w:r>
      <w:r>
        <w:rPr>
          <w:rFonts w:ascii="Calibri" w:hAnsi="Calibri"/>
          <w:b/>
          <w:color w:val="0F172A"/>
        </w:rPr>
        <w:t>1.30% por operación</w:t>
      </w:r>
      <w:r>
        <w:rPr>
          <w:rFonts w:ascii="Calibri" w:hAnsi="Calibri"/>
          <w:color w:val="334155"/>
          <w:sz w:val="22"/>
        </w:rPr>
        <w:t xml:space="preserve"> y límite anual del </w:t>
      </w:r>
      <w:r>
        <w:rPr>
          <w:rFonts w:ascii="Calibri" w:hAnsi="Calibri"/>
          <w:b/>
          <w:color w:val="0F172A"/>
        </w:rPr>
        <w:t>1.00%</w:t>
      </w:r>
      <w:r>
        <w:rPr>
          <w:rFonts w:ascii="Calibri" w:hAnsi="Calibri"/>
          <w:color w:val="334155"/>
          <w:sz w:val="22"/>
        </w:rPr>
        <w:t xml:space="preserve"> sobre el volumen operado.</w:t>
      </w:r>
    </w:p>
    <w:p>
      <w:pPr>
        <w:pStyle w:val="ListNumber"/>
        <w:spacing w:after="60"/>
      </w:pPr>
      <w:r>
        <w:rPr>
          <w:rFonts w:ascii="Calibri" w:hAnsi="Calibri"/>
          <w:b/>
          <w:color w:val="0F172A"/>
        </w:rPr>
        <w:t>Transparencia Obligatoria a Comercios (Art. 39, 40 y Anexo 2):</w:t>
      </w:r>
      <w:r>
        <w:rPr>
          <w:rFonts w:ascii="Calibri" w:hAnsi="Calibri"/>
          <w:color w:val="334155"/>
          <w:sz w:val="22"/>
        </w:rPr>
        <w:t xml:space="preserve"> Desglose explícito en estados de cuenta de la Tasa de Descuento, Cuota de Intercambio aplicada y Comisiones.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3. </w:t>
      </w:r>
      <w:r>
        <w:rPr>
          <w:rFonts w:ascii="Calibri" w:hAnsi="Calibri"/>
          <w:b/>
          <w:color w:val="0F172A"/>
        </w:rPr>
        <w:t>Prohibición Estricta de "Ventas Atadas" y Exclusividades (Art. 6 y Art. 23):</w:t>
      </w:r>
      <w:r>
        <w:rPr>
          <w:rFonts w:ascii="Calibri" w:hAnsi="Calibri"/>
          <w:color w:val="334155"/>
          <w:sz w:val="22"/>
        </w:rPr>
        <w:t xml:space="preserve"> Se prohíbe condicionar el cobro con tarjeta a contratar cuentas o productos bancarios obligatorios.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4. </w:t>
      </w:r>
      <w:r>
        <w:rPr>
          <w:rFonts w:ascii="Calibri" w:hAnsi="Calibri"/>
          <w:b/>
          <w:color w:val="0F172A"/>
        </w:rPr>
        <w:t>Interoperabilidad Obligatoria (Art. 19):</w:t>
      </w:r>
      <w:r>
        <w:rPr>
          <w:rFonts w:ascii="Calibri" w:hAnsi="Calibri"/>
          <w:color w:val="334155"/>
          <w:sz w:val="22"/>
        </w:rPr>
        <w:t xml:space="preserve"> Cero bloqueos entre redes de medios de disposición y cámaras de compensación.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🚀 2. Los 3 Grandiosos Vientos a Favor para PayMind en Gasolineras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                OPORTUNIDADES DE MERCADO PARA PAYMIND                  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1. REDUCCIÓN DE COSTOS DE INTERCAMBIO ➔ Gasolineros ganan mayor margen 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2. DESGLOSE OBLIGATORIO Y TRANSPARENCIA ➔ Exposición de abusos bancarios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│ 3. PROHIBICIÓN DE VENTAS ATADAS         ➔ Libertad de adquirencia abierta    │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Oportunidad 1: Reducción del Costo de Intercambio en Gasolineras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En el sector gasolinero (donde los márgenes son de 1% o menos por litro), el pago con tarjeta de crédito solía castigar a la estación con cuotas de intercambio elevadas. Al topar el intercambio en </w:t>
      </w:r>
      <w:r>
        <w:rPr>
          <w:rFonts w:ascii="Calibri" w:hAnsi="Calibri"/>
          <w:b/>
          <w:color w:val="0F172A"/>
        </w:rPr>
        <w:t>1.30% crédito</w:t>
      </w:r>
      <w:r>
        <w:rPr>
          <w:rFonts w:ascii="Calibri" w:hAnsi="Calibri"/>
          <w:color w:val="334155"/>
          <w:sz w:val="22"/>
        </w:rPr>
        <w:t xml:space="preserve"> y </w:t>
      </w:r>
      <w:r>
        <w:rPr>
          <w:rFonts w:ascii="Calibri" w:hAnsi="Calibri"/>
          <w:b/>
          <w:color w:val="0F172A"/>
        </w:rPr>
        <w:t>$10.80 MXN / 0.30% débito</w:t>
      </w:r>
      <w:r>
        <w:rPr>
          <w:rFonts w:ascii="Calibri" w:hAnsi="Calibri"/>
          <w:color w:val="334155"/>
          <w:sz w:val="22"/>
        </w:rPr>
        <w:t>, el costo de procesamiento mayorista disminuye drásticamente.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Beneficio PayMind:</w:t>
      </w:r>
      <w:r>
        <w:rPr>
          <w:rFonts w:ascii="Calibri" w:hAnsi="Calibri"/>
          <w:color w:val="334155"/>
          <w:sz w:val="22"/>
        </w:rPr>
        <w:t xml:space="preserve"> PayMind puede ofrecer a las gasolineras tarifas adquirentes más competitivas y al mismo tiempo mantener un </w:t>
      </w:r>
      <w:r>
        <w:rPr>
          <w:rFonts w:ascii="Calibri" w:hAnsi="Calibri"/>
          <w:b/>
          <w:color w:val="0F172A"/>
        </w:rPr>
        <w:t>margen neto más saludable por transacción</w:t>
      </w:r>
      <w:r>
        <w:rPr>
          <w:rFonts w:ascii="Calibri" w:hAnsi="Calibri"/>
          <w:color w:val="334155"/>
          <w:sz w:val="22"/>
        </w:rP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Oportunidad 2: Desglose Obligatorio (Anexo 2) y Fin de la Opacidad Bancaria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Los bancos tradicionales solían cobrar una "Tasa de Descuento global" sin transparentar cuánto era comisión del banco emisor y cuánto era ganancia del adquirente. Con el </w:t>
      </w:r>
      <w:r>
        <w:rPr>
          <w:rFonts w:ascii="Calibri" w:hAnsi="Calibri"/>
          <w:b/>
          <w:color w:val="0F172A"/>
        </w:rPr>
        <w:t>Anexo 2</w:t>
      </w:r>
      <w:r>
        <w:rPr>
          <w:rFonts w:ascii="Calibri" w:hAnsi="Calibri"/>
          <w:color w:val="334155"/>
          <w:sz w:val="22"/>
        </w:rPr>
        <w:t>, los comercios recibirán un reporte mensual desglosado.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Beneficio PayMind:</w:t>
      </w:r>
      <w:r>
        <w:rPr>
          <w:rFonts w:ascii="Calibri" w:hAnsi="Calibri"/>
          <w:color w:val="334155"/>
          <w:sz w:val="22"/>
        </w:rPr>
        <w:t xml:space="preserve"> Con la transparencia obligatoria, el gasolinero verá exactamente cuánto le cobra su banco actual. PayMind puede usar esta transparencia para mostrar el ahorro directo al migrar a la pasarela multi-adquirente de PayMind.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Oportunidad 3: Libertad de Elección (Sin Ventas Atadas - Art. 6 y Art. 23)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regulación prohíbe que un banco exija al gasolinero tener la cuenta de depósito con ellos para permitirle cobrar en la bomba.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Beneficio PayMind:</w:t>
      </w:r>
      <w:r>
        <w:rPr>
          <w:rFonts w:ascii="Calibri" w:hAnsi="Calibri"/>
          <w:color w:val="334155"/>
          <w:sz w:val="22"/>
        </w:rPr>
        <w:t xml:space="preserve"> Esto respalda 100% nuestra propuesta comercial de </w:t>
      </w:r>
      <w:r>
        <w:rPr>
          <w:rFonts w:ascii="Calibri" w:hAnsi="Calibri"/>
          <w:b/>
          <w:color w:val="0F172A"/>
        </w:rPr>
        <w:t>"Trae tu propio banco (BBVA, BanBajío, Afirme) y mantén tus depósitos T+1 sin ataduras"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🛡️ 3. Retos de Compliance y Requisitos Operativos para PayMind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Aspecto Regulatorio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Exigencia CNBV / Banxico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Estrategia de Mitigación PayMind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Registro de Participante (Art. 63)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Registro ante CNBV 3 meses antes de operar como Agregador / Empresa Especializada.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Operar en alianza técnica con Adquirentes Registrados (BBVA, BanBajío, Afirme) o registrarse como Empresa Especializada (Anexo 5).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Seguridad de la Información (Anexo 4)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Cifrado HSM, ISO/IEC 7812, lectura de Chip/NFC y llaves criptográficas.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Las terminales SmartPOS Nexgo PCI 6.x / ATEX ya cuentan con HSM y certificación internacional.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Continuidad de Negocio (Anexo 3)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Plan de Continuidad RTO/RPO con reporte de caídas a CNBV en 60-120 min.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Diseñar la arquitectura con modo degradado offline en la bomba si falla la red.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Reportes Regulatorios Serie R24 (Art. 66)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Reporte mensual/trimestral de transacciones, tasas y reclamos (Anexo 1).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Implementar contabilidad transaccional automatizada en el backend de PayMind.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💡 4. Ajuste Inmediato en la Narrativa Comercial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Este anteproyecto es el </w:t>
      </w:r>
      <w:r>
        <w:rPr>
          <w:rFonts w:ascii="Calibri" w:hAnsi="Calibri"/>
          <w:b/>
          <w:color w:val="0F172A"/>
        </w:rPr>
        <w:t>"Por Qué Ahora" regulatorio perfecto</w:t>
      </w:r>
      <w:r>
        <w:rPr>
          <w:rFonts w:ascii="Calibri" w:hAnsi="Calibri"/>
          <w:color w:val="334155"/>
          <w:sz w:val="22"/>
        </w:rPr>
        <w:t xml:space="preserve"> para PayMind: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**“Con el nuevo anteproyecto de la CNBV y Banxico que topa las cuotas de intercambio y prohíbe las ventas atadas bancarias, las estaciones de servicio tienen la libertad legal de exigir comisiones transparentes y depósitos T+1 sin cambiar de banco. PayMind integra la tecnología en bomba para aprovechar este nuevo marco regulatorio desde hoy.”**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