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40" w:after="120"/>
      </w:pPr>
      <w:r>
        <w:rPr>
          <w:rFonts w:ascii="Calibri" w:hAnsi="Calibri"/>
          <w:b/>
          <w:color w:val="0F172A"/>
          <w:sz w:val="40"/>
        </w:rPr>
        <w:t>📊 Mapa Definitivo de Ecosistema Tecnológico: Volumétricos &amp; ERPs Gasolineros en México</w:t>
      </w:r>
    </w:p>
    <w:p>
      <w:pPr>
        <w:spacing w:before="80" w:after="80"/>
        <w:ind w:left="576"/>
      </w:pPr>
      <w:r>
        <w:rPr>
          <w:rFonts w:ascii="Calibri" w:hAnsi="Calibri"/>
          <w:i/>
          <w:color w:val="475569"/>
        </w:rPr>
        <w:t>**Preparado por:** Antonio Gutiérrez | Consultor de Crecimiento &amp; Pagos</w:t>
      </w:r>
    </w:p>
    <w:p>
      <w:pPr>
        <w:spacing w:before="80" w:after="80"/>
        <w:ind w:left="576"/>
      </w:pPr>
      <w:r>
        <w:rPr>
          <w:rFonts w:ascii="Calibri" w:hAnsi="Calibri"/>
          <w:i/>
          <w:color w:val="475569"/>
        </w:rPr>
        <w:t>**Asunto:** Mapeo de penetración, ecosistema de integración, certificaciones de hardware (Nexgo ATEX) y validación de mercado con Grupo ORSAN.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---</w:t>
      </w:r>
    </w:p>
    <w:p>
      <w:pPr>
        <w:keepNext/>
        <w:spacing w:before="240" w:after="120"/>
      </w:pPr>
      <w:r>
        <w:rPr>
          <w:rFonts w:ascii="Calibri" w:hAnsi="Calibri"/>
          <w:b/>
          <w:color w:val="2563EB"/>
          <w:sz w:val="32"/>
        </w:rPr>
        <w:t>🏆 1. Mapa de Penetración: Volumétricos &amp; ERPs en México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0F172A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22"/>
              </w:rPr>
              <w:t>Software / Plataforma</w:t>
            </w:r>
          </w:p>
        </w:tc>
        <w:tc>
          <w:tcPr>
            <w:tcW w:type="dxa" w:w="2484"/>
            <w:shd w:fill="0F172A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22"/>
              </w:rPr>
              <w:t>Categoría</w:t>
            </w:r>
          </w:p>
        </w:tc>
        <w:tc>
          <w:tcPr>
            <w:tcW w:type="dxa" w:w="2484"/>
            <w:shd w:fill="0F172A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22"/>
              </w:rPr>
              <w:t>% Est. Penetración</w:t>
            </w:r>
          </w:p>
        </w:tc>
        <w:tc>
          <w:tcPr>
            <w:tcW w:type="dxa" w:w="2484"/>
            <w:shd w:fill="0F172A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22"/>
              </w:rPr>
              <w:t>Enfoque &amp; Características Clave</w:t>
            </w:r>
          </w:p>
        </w:tc>
      </w:tr>
      <w:tr>
        <w:tc>
          <w:tcPr>
            <w:tcW w:type="dxa" w:w="2484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F172A"/>
              </w:rPr>
              <w:t>1. ControlGAS (ATIO Group)</w:t>
            </w:r>
          </w:p>
        </w:tc>
        <w:tc>
          <w:tcPr>
            <w:tcW w:type="dxa" w:w="2484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Volumétrico / Isla</w:t>
            </w:r>
          </w:p>
        </w:tc>
        <w:tc>
          <w:tcPr>
            <w:tcW w:type="dxa" w:w="2484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F172A"/>
              </w:rPr>
              <w:t>~40%</w:t>
            </w:r>
            <w:r>
              <w:rPr>
                <w:rFonts w:ascii="Calibri" w:hAnsi="Calibri"/>
                <w:color w:val="334155"/>
                <w:sz w:val="22"/>
              </w:rPr>
              <w:t xml:space="preserve"> *(Líder Dominante)*</w:t>
            </w:r>
          </w:p>
        </w:tc>
        <w:tc>
          <w:tcPr>
            <w:tcW w:type="dxa" w:w="2484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6,000+ estaciones. Franquicias Pemex, Oxxo Gas, Petro-7, Hidrosina.</w:t>
            </w:r>
          </w:p>
        </w:tc>
      </w:tr>
      <w:tr>
        <w:tc>
          <w:tcPr>
            <w:tcW w:type="dxa" w:w="2484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F172A"/>
              </w:rPr>
              <w:t>2. Alvic México (Octan / Autofuel)</w:t>
            </w:r>
          </w:p>
        </w:tc>
        <w:tc>
          <w:tcPr>
            <w:tcW w:type="dxa" w:w="2484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Volumétrico / Autoservicio</w:t>
            </w:r>
          </w:p>
        </w:tc>
        <w:tc>
          <w:tcPr>
            <w:tcW w:type="dxa" w:w="2484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F172A"/>
              </w:rPr>
              <w:t>~15% - 20%</w:t>
            </w:r>
          </w:p>
        </w:tc>
        <w:tc>
          <w:tcPr>
            <w:tcW w:type="dxa" w:w="2484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Origen español. Especialista en estaciones desatendidas, carwash y conveniencia.</w:t>
            </w:r>
          </w:p>
        </w:tc>
      </w:tr>
      <w:tr>
        <w:tc>
          <w:tcPr>
            <w:tcW w:type="dxa" w:w="2484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F172A"/>
              </w:rPr>
              <w:t>3. Nexus Fuel</w:t>
            </w:r>
            <w:r>
              <w:rPr>
                <w:rFonts w:ascii="Calibri" w:hAnsi="Calibri"/>
                <w:color w:val="334155"/>
                <w:sz w:val="22"/>
              </w:rPr>
              <w:t xml:space="preserve"> (</w:t>
            </w:r>
            <w:r>
              <w:rPr>
                <w:rFonts w:ascii="Consolas" w:hAnsi="Consolas"/>
                <w:color w:val="E11D48"/>
                <w:sz w:val="19"/>
              </w:rPr>
              <w:t>nexusfuel.com</w:t>
            </w:r>
            <w:r>
              <w:rPr>
                <w:rFonts w:ascii="Calibri" w:hAnsi="Calibri"/>
                <w:color w:val="334155"/>
                <w:sz w:val="22"/>
              </w:rPr>
              <w:t>)</w:t>
            </w:r>
          </w:p>
        </w:tc>
        <w:tc>
          <w:tcPr>
            <w:tcW w:type="dxa" w:w="2484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ERP / Volumétrico Cloud</w:t>
            </w:r>
          </w:p>
        </w:tc>
        <w:tc>
          <w:tcPr>
            <w:tcW w:type="dxa" w:w="2484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F172A"/>
              </w:rPr>
              <w:t>~10% - 15%</w:t>
            </w:r>
          </w:p>
        </w:tc>
        <w:tc>
          <w:tcPr>
            <w:tcW w:type="dxa" w:w="2484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Challenger Cloud. Mapea contabilidad a SAP Business One, lealtad y flotillas.</w:t>
            </w:r>
          </w:p>
        </w:tc>
      </w:tr>
      <w:tr>
        <w:tc>
          <w:tcPr>
            <w:tcW w:type="dxa" w:w="2484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F172A"/>
              </w:rPr>
              <w:t>4. Intelisis Gasolineras (Inbursa)</w:t>
            </w:r>
          </w:p>
        </w:tc>
        <w:tc>
          <w:tcPr>
            <w:tcW w:type="dxa" w:w="2484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ERP Corporativo</w:t>
            </w:r>
          </w:p>
        </w:tc>
        <w:tc>
          <w:tcPr>
            <w:tcW w:type="dxa" w:w="2484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F172A"/>
              </w:rPr>
              <w:t>~10%</w:t>
            </w:r>
          </w:p>
        </w:tc>
        <w:tc>
          <w:tcPr>
            <w:tcW w:type="dxa" w:w="2484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 xml:space="preserve">Respaldo Grupo Inbursa. Tecnología de </w:t>
            </w:r>
            <w:r>
              <w:rPr>
                <w:rFonts w:ascii="Calibri" w:hAnsi="Calibri"/>
                <w:b/>
                <w:color w:val="0F172A"/>
              </w:rPr>
              <w:t>Aros RF en tanque y Tags RFID</w:t>
            </w:r>
            <w:r>
              <w:rPr>
                <w:rFonts w:ascii="Calibri" w:hAnsi="Calibri"/>
                <w:color w:val="334155"/>
                <w:sz w:val="22"/>
              </w:rPr>
              <w:t xml:space="preserve"> para flotillas.</w:t>
            </w:r>
          </w:p>
        </w:tc>
      </w:tr>
      <w:tr>
        <w:tc>
          <w:tcPr>
            <w:tcW w:type="dxa" w:w="2484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F172A"/>
              </w:rPr>
              <w:t>5. Volutrak (ATISoft)</w:t>
            </w:r>
          </w:p>
        </w:tc>
        <w:tc>
          <w:tcPr>
            <w:tcW w:type="dxa" w:w="2484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Volumétrico / Autoconsumo</w:t>
            </w:r>
          </w:p>
        </w:tc>
        <w:tc>
          <w:tcPr>
            <w:tcW w:type="dxa" w:w="2484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F172A"/>
              </w:rPr>
              <w:t>~8% - 10%</w:t>
            </w:r>
          </w:p>
        </w:tc>
        <w:tc>
          <w:tcPr>
            <w:tcW w:type="dxa" w:w="2484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Nube/Sitio (Certificación NMX-I-9126-2). Conexión a SCADA y AVEVA PI.</w:t>
            </w:r>
          </w:p>
        </w:tc>
      </w:tr>
      <w:tr>
        <w:tc>
          <w:tcPr>
            <w:tcW w:type="dxa" w:w="2484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F172A"/>
              </w:rPr>
              <w:t>6. Dyngas (Dynamics 365)</w:t>
            </w:r>
          </w:p>
        </w:tc>
        <w:tc>
          <w:tcPr>
            <w:tcW w:type="dxa" w:w="2484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ERP Enterprise</w:t>
            </w:r>
          </w:p>
        </w:tc>
        <w:tc>
          <w:tcPr>
            <w:tcW w:type="dxa" w:w="2484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F172A"/>
              </w:rPr>
              <w:t>~5%</w:t>
            </w:r>
          </w:p>
        </w:tc>
        <w:tc>
          <w:tcPr>
            <w:tcW w:type="dxa" w:w="2484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Construido sobre Microsoft Dynamics 365 para macro-grupos (+50 estaciones).</w:t>
            </w:r>
          </w:p>
        </w:tc>
      </w:tr>
      <w:tr>
        <w:tc>
          <w:tcPr>
            <w:tcW w:type="dxa" w:w="2484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F172A"/>
              </w:rPr>
              <w:t>7. EFT ERP (Ener Fuel Tech)</w:t>
            </w:r>
          </w:p>
        </w:tc>
        <w:tc>
          <w:tcPr>
            <w:tcW w:type="dxa" w:w="2484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ERP Mediano</w:t>
            </w:r>
          </w:p>
        </w:tc>
        <w:tc>
          <w:tcPr>
            <w:tcW w:type="dxa" w:w="2484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F172A"/>
              </w:rPr>
              <w:t>~5%</w:t>
            </w:r>
          </w:p>
        </w:tc>
        <w:tc>
          <w:tcPr>
            <w:tcW w:type="dxa" w:w="2484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14 módulos integrados para grupos regionales y estaciones independientes.</w:t>
            </w:r>
          </w:p>
        </w:tc>
      </w:tr>
      <w:tr>
        <w:tc>
          <w:tcPr>
            <w:tcW w:type="dxa" w:w="2484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F172A"/>
              </w:rPr>
              <w:t>8. getcastores.mx + TicketFact</w:t>
            </w:r>
          </w:p>
        </w:tc>
        <w:tc>
          <w:tcPr>
            <w:tcW w:type="dxa" w:w="2484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SaaS PYME / Isla</w:t>
            </w:r>
          </w:p>
        </w:tc>
        <w:tc>
          <w:tcPr>
            <w:tcW w:type="dxa" w:w="2484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F172A"/>
              </w:rPr>
              <w:t>~5%</w:t>
            </w:r>
          </w:p>
        </w:tc>
        <w:tc>
          <w:tcPr>
            <w:tcW w:type="dxa" w:w="2484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Gestión ligera para estaciones individuales + facturación WhatsApp/Kiosko.</w:t>
            </w:r>
          </w:p>
        </w:tc>
      </w:tr>
    </w:tbl>
    <w:p/>
    <w:p>
      <w:pPr>
        <w:spacing w:after="80"/>
      </w:pPr>
      <w:r>
        <w:rPr>
          <w:rFonts w:ascii="Calibri" w:hAnsi="Calibri"/>
          <w:color w:val="334155"/>
          <w:sz w:val="22"/>
        </w:rPr>
        <w:t>---</w:t>
      </w:r>
    </w:p>
    <w:p>
      <w:pPr>
        <w:keepNext/>
        <w:spacing w:before="240" w:after="120"/>
      </w:pPr>
      <w:r>
        <w:rPr>
          <w:rFonts w:ascii="Calibri" w:hAnsi="Calibri"/>
          <w:b/>
          <w:color w:val="2563EB"/>
          <w:sz w:val="32"/>
        </w:rPr>
        <w:t>🛡️ 2. Posicionamiento Único &amp; Validadores de Mercado de PayMind</w:t>
      </w:r>
    </w:p>
    <w:p>
      <w:pPr>
        <w:keepNext/>
        <w:spacing w:before="240" w:after="120"/>
      </w:pPr>
      <w:r>
        <w:rPr>
          <w:rFonts w:ascii="Calibri" w:hAnsi="Calibri"/>
          <w:b/>
          <w:color w:val="1E293B"/>
          <w:sz w:val="26"/>
        </w:rPr>
        <w:t>A. Caso de Éxito #1: Grupo ORSAN (Mobil)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</w:rPr>
        <w:t>El Validador de Mercado:</w:t>
      </w:r>
      <w:r>
        <w:rPr>
          <w:rFonts w:ascii="Calibri" w:hAnsi="Calibri"/>
          <w:color w:val="334155"/>
          <w:sz w:val="22"/>
        </w:rPr>
        <w:t xml:space="preserve"> PayMind procesa transacciones para </w:t>
      </w:r>
      <w:r>
        <w:rPr>
          <w:rFonts w:ascii="Calibri" w:hAnsi="Calibri"/>
          <w:b/>
          <w:color w:val="0F172A"/>
        </w:rPr>
        <w:t>Grupo ORSAN</w:t>
      </w:r>
      <w:r>
        <w:rPr>
          <w:rFonts w:ascii="Calibri" w:hAnsi="Calibri"/>
          <w:color w:val="334155"/>
          <w:sz w:val="22"/>
        </w:rPr>
        <w:t>, uno de los consorcios gasolineros más grandes e influyentes de México (operadores de cientos de estaciones bajo su marca y Mobil).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</w:rPr>
        <w:t>Impacto Comercial:</w:t>
      </w:r>
      <w:r>
        <w:rPr>
          <w:rFonts w:ascii="Calibri" w:hAnsi="Calibri"/>
          <w:color w:val="334155"/>
          <w:sz w:val="22"/>
        </w:rPr>
        <w:t xml:space="preserve"> Permite romper la barrera de "confianza de marca". Cuando un grupo regional de 3 a 10 estaciones duda, la respuesta es directa:</w:t>
      </w:r>
    </w:p>
    <w:p>
      <w:pPr>
        <w:spacing w:before="80" w:after="80"/>
        <w:ind w:left="576"/>
      </w:pPr>
      <w:r>
        <w:rPr>
          <w:rFonts w:ascii="Calibri" w:hAnsi="Calibri"/>
          <w:i/>
          <w:color w:val="475569"/>
        </w:rPr>
        <w:t>*"Nuestra tecnología ya procesa las transacciones en bomba de Grupo ORSAN con disponibilidad de plataforma del 99.99%."*</w:t>
      </w:r>
    </w:p>
    <w:p>
      <w:pPr>
        <w:keepNext/>
        <w:spacing w:before="240" w:after="120"/>
      </w:pPr>
      <w:r>
        <w:rPr>
          <w:rFonts w:ascii="Calibri" w:hAnsi="Calibri"/>
          <w:b/>
          <w:color w:val="1E293B"/>
          <w:sz w:val="26"/>
        </w:rPr>
        <w:t>B. Certificación de Hardware Antichispas (Nexgo PCI 6.x + ATEX)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</w:rPr>
        <w:t>Seguridad en la Isla de Carga:</w:t>
      </w:r>
      <w:r>
        <w:rPr>
          <w:rFonts w:ascii="Calibri" w:hAnsi="Calibri"/>
          <w:color w:val="334155"/>
          <w:sz w:val="22"/>
        </w:rPr>
        <w:t xml:space="preserve"> Terminales </w:t>
      </w:r>
      <w:r>
        <w:rPr>
          <w:rFonts w:ascii="Calibri" w:hAnsi="Calibri"/>
          <w:b/>
          <w:color w:val="0F172A"/>
        </w:rPr>
        <w:t>Nexgo SmartPOS Android</w:t>
      </w:r>
      <w:r>
        <w:rPr>
          <w:rFonts w:ascii="Calibri" w:hAnsi="Calibri"/>
          <w:color w:val="334155"/>
          <w:sz w:val="22"/>
        </w:rPr>
        <w:t xml:space="preserve"> que cuentan con certificación de alta seguridad </w:t>
      </w:r>
      <w:r>
        <w:rPr>
          <w:rFonts w:ascii="Calibri" w:hAnsi="Calibri"/>
          <w:b/>
          <w:color w:val="0F172A"/>
        </w:rPr>
        <w:t>PCI 6.x</w:t>
      </w:r>
      <w:r>
        <w:rPr>
          <w:rFonts w:ascii="Calibri" w:hAnsi="Calibri"/>
          <w:color w:val="334155"/>
          <w:sz w:val="22"/>
        </w:rPr>
        <w:t xml:space="preserve"> y especificación </w:t>
      </w:r>
      <w:r>
        <w:rPr>
          <w:rFonts w:ascii="Calibri" w:hAnsi="Calibri"/>
          <w:b/>
          <w:color w:val="0F172A"/>
        </w:rPr>
        <w:t>ATEX (antichispas)</w:t>
      </w:r>
      <w:r>
        <w:rPr>
          <w:rFonts w:ascii="Calibri" w:hAnsi="Calibri"/>
          <w:color w:val="334155"/>
          <w:sz w:val="22"/>
        </w:rPr>
        <w:t>, garantizando que el equipo puede operar de forma segura al pie de la bomba sin vulnerar normativas de protección civil o ASEA.</w:t>
      </w:r>
    </w:p>
    <w:p>
      <w:pPr>
        <w:keepNext/>
        <w:spacing w:before="240" w:after="120"/>
      </w:pPr>
      <w:r>
        <w:rPr>
          <w:rFonts w:ascii="Calibri" w:hAnsi="Calibri"/>
          <w:b/>
          <w:color w:val="1E293B"/>
          <w:sz w:val="26"/>
        </w:rPr>
        <w:t>C. El Modelo Híbrido (Agnosticismo Financiero vs Adquirencia Directa)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</w:rPr>
        <w:t>Opción 1 (Gateway / Ruteo "Trae tu propia Afiliación"):</w:t>
      </w:r>
      <w:r>
        <w:rPr>
          <w:rFonts w:ascii="Calibri" w:hAnsi="Calibri"/>
          <w:color w:val="334155"/>
          <w:sz w:val="22"/>
        </w:rPr>
        <w:t xml:space="preserve"> El grupo gasolinero conserva su número de afiliación con su banco de preferencia (BBVA, BanBajío, Afirme, Broxel, etc.) con sus tasas comerciales pactadas. PayMind únicamente cobra el middleware de integración ligera.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</w:rPr>
        <w:t>Opción 2 (Agregador / Adquirencia Directa PayMind):</w:t>
      </w:r>
      <w:r>
        <w:rPr>
          <w:rFonts w:ascii="Calibri" w:hAnsi="Calibri"/>
          <w:color w:val="334155"/>
          <w:sz w:val="22"/>
        </w:rPr>
        <w:t xml:space="preserve"> Para estaciones independientes o grupos que buscan mejorar sus tasas y consolidar tarjetas bancarias y vales (Edenred, Sodexo, SiVale) con liquidación T+1.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---</w:t>
      </w:r>
    </w:p>
    <w:p>
      <w:pPr>
        <w:keepNext/>
        <w:spacing w:before="240" w:after="120"/>
      </w:pPr>
      <w:r>
        <w:rPr>
          <w:rFonts w:ascii="Calibri" w:hAnsi="Calibri"/>
          <w:b/>
          <w:color w:val="2563EB"/>
          <w:sz w:val="32"/>
        </w:rPr>
        <w:t>🎯 3. Matriz de Integración &amp; Co-Selling por Proveedor</w:t>
      </w:r>
    </w:p>
    <w:p>
      <w:pPr>
        <w:spacing w:after="80"/>
      </w:pPr>
      <w:r>
        <w:rPr>
          <w:rFonts w:ascii="Consolas" w:hAnsi="Consolas"/>
          <w:color w:val="E11D48"/>
          <w:sz w:val="19"/>
        </w:rPr>
      </w:r>
      <w:r>
        <w:rPr>
          <w:rFonts w:ascii="Consolas" w:hAnsi="Consolas"/>
          <w:color w:val="E11D48"/>
          <w:sz w:val="19"/>
        </w:rPr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┌─────────────────────────────────────────┐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│       PAYMIND GATEWAY / ADQUIRENNCIA    │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│  (SmartPOS Nexgo ATEX / PCI 6.x / T+1)  │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└────────────────────┬────────────────────┘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│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┌───────────────────────┬─────────────────────┼───────────────────────┐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▼                       ▼                     ▼                       ▼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ATIO ControlGAS (~40%)  Alvic Autofuel (~20%)  Nexus Fuel (~15%)     Intelisis Inbursa (~10%)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(Líder de Isla)         (Autoservicio)         (ERP Cloud / SAP)     (Aros RF / Flotillas)</w:t>
      </w:r>
    </w:p>
    <w:p>
      <w:pPr>
        <w:spacing w:after="80"/>
      </w:pPr>
      <w:r>
        <w:rPr>
          <w:rFonts w:ascii="Consolas" w:hAnsi="Consolas"/>
          <w:color w:val="E11D48"/>
          <w:sz w:val="19"/>
        </w:rPr>
      </w:r>
      <w:r>
        <w:rPr>
          <w:rFonts w:ascii="Consolas" w:hAnsi="Consolas"/>
          <w:color w:val="E11D48"/>
          <w:sz w:val="19"/>
        </w:rPr>
      </w:r>
    </w:p>
    <w:p>
      <w:pPr>
        <w:pStyle w:val="ListNumber"/>
        <w:spacing w:after="60"/>
      </w:pPr>
      <w:r>
        <w:rPr>
          <w:rFonts w:ascii="Calibri" w:hAnsi="Calibri"/>
          <w:b/>
          <w:color w:val="0F172A"/>
        </w:rPr>
        <w:t>Alianza con ATIO Group (ControlGAS):</w:t>
      </w:r>
      <w:r>
        <w:rPr>
          <w:rFonts w:ascii="Calibri" w:hAnsi="Calibri"/>
          <w:color w:val="334155"/>
          <w:sz w:val="22"/>
        </w:rPr>
        <w:t xml:space="preserve"> Certificar la App SmartPOS como add-on directo para sus 6,000 estaciones.</w:t>
      </w:r>
    </w:p>
    <w:p>
      <w:pPr>
        <w:pStyle w:val="ListNumber"/>
        <w:spacing w:after="60"/>
      </w:pPr>
      <w:r>
        <w:rPr>
          <w:rFonts w:ascii="Calibri" w:hAnsi="Calibri"/>
          <w:b/>
          <w:color w:val="0F172A"/>
        </w:rPr>
        <w:t>Alianza con Alvic México:</w:t>
      </w:r>
      <w:r>
        <w:rPr>
          <w:rFonts w:ascii="Calibri" w:hAnsi="Calibri"/>
          <w:color w:val="334155"/>
          <w:sz w:val="22"/>
        </w:rPr>
        <w:t xml:space="preserve"> Integración con la pantalla de autoservicio *Autofuel* para estaciones desatendidas o nocturnas.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 xml:space="preserve">3. </w:t>
      </w:r>
      <w:r>
        <w:rPr>
          <w:rFonts w:ascii="Calibri" w:hAnsi="Calibri"/>
          <w:b/>
          <w:color w:val="0F172A"/>
        </w:rPr>
        <w:t>Alianza con Nexus Fuel:</w:t>
      </w:r>
      <w:r>
        <w:rPr>
          <w:rFonts w:ascii="Calibri" w:hAnsi="Calibri"/>
          <w:color w:val="334155"/>
          <w:sz w:val="22"/>
        </w:rPr>
        <w:t xml:space="preserve"> Integración API SaaS-to-SaaS para inyectar transacciones conciliadas directo a su ERP/SAP.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 xml:space="preserve">4. </w:t>
      </w:r>
      <w:r>
        <w:rPr>
          <w:rFonts w:ascii="Calibri" w:hAnsi="Calibri"/>
          <w:b/>
          <w:color w:val="0F172A"/>
        </w:rPr>
        <w:t>Alianza con Intelisis Gasolineras (Inbursa):</w:t>
      </w:r>
      <w:r>
        <w:rPr>
          <w:rFonts w:ascii="Calibri" w:hAnsi="Calibri"/>
          <w:color w:val="334155"/>
          <w:sz w:val="22"/>
        </w:rPr>
        <w:t xml:space="preserve"> Integración con la lectura de Aros RF y Tags RFID en tanque para cobros automáticos de flotillas.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---</w:t>
      </w:r>
    </w:p>
    <w:p>
      <w:pPr>
        <w:keepNext/>
        <w:spacing w:before="240" w:after="120"/>
      </w:pPr>
      <w:r>
        <w:rPr>
          <w:rFonts w:ascii="Calibri" w:hAnsi="Calibri"/>
          <w:b/>
          <w:color w:val="2563EB"/>
          <w:sz w:val="32"/>
        </w:rPr>
        <w:t>💬 4. Guiones Comerciales según el Perfil del Decisor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</w:rPr>
        <w:t>Para el Dueño / Socio Fundador:</w:t>
      </w:r>
    </w:p>
    <w:p>
      <w:pPr>
        <w:spacing w:before="80" w:after="80"/>
        <w:ind w:left="576"/>
      </w:pPr>
      <w:r>
        <w:rPr>
          <w:rFonts w:ascii="Calibri" w:hAnsi="Calibri"/>
          <w:i/>
          <w:color w:val="475569"/>
        </w:rPr>
        <w:t>*"Sigue con tu cuenta de BBVA, BanBajío o Afirme; no te cambies de banco si no quieres. Nosotros nos encargamos de que la terminal se conecte directo a tu volumétrico y te deposite vales y tarjetas al día siguiente."*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</w:rPr>
        <w:t>Para el Contador / Administrador:</w:t>
      </w:r>
    </w:p>
    <w:p>
      <w:pPr>
        <w:spacing w:before="80" w:after="80"/>
        <w:ind w:left="576"/>
      </w:pPr>
      <w:r>
        <w:rPr>
          <w:rFonts w:ascii="Calibri" w:hAnsi="Calibri"/>
          <w:i/>
          <w:color w:val="475569"/>
        </w:rPr>
        <w:t>*"El monto despachado por la bomba pasa directo a la terminal inalámbrica. Cero captura manual, cero errores de dedo ante el SAT y conciliación automática en tu ERP (Intelisis, Nexus Fuel o SAP)."*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</w:rPr>
        <w:t>Para el Encargado de Estación / Operaciones:</w:t>
      </w:r>
    </w:p>
    <w:p>
      <w:pPr>
        <w:spacing w:before="80" w:after="80"/>
        <w:ind w:left="576"/>
      </w:pPr>
      <w:r>
        <w:rPr>
          <w:rFonts w:ascii="Calibri" w:hAnsi="Calibri"/>
          <w:i/>
          <w:color w:val="475569"/>
        </w:rPr>
        <w:t>*"Terminales Nexgo certificadas antichispas (ATEX) y PCI 6.x para cobrar en 10 segundos al pie del auto. Cero filas en el cambio de turno a las 2:00 PM y cero despachadores pidiéndose la terminal prestada."*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