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💼 Caso de Negocio &amp; Propuesta Ejecutiva para la Dirección de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**Fecha:** 27 de Agosto, 2026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Tarifa Mensual: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`$30,000 MXN / mes`</w:t>
      </w:r>
      <w:r>
        <w:rPr>
          <w:rFonts w:ascii="Calibri" w:hAnsi="Calibri"/>
          <w:color w:val="334155"/>
          <w:sz w:val="22"/>
        </w:rPr>
        <w:t xml:space="preserve"> (Bajo el esquema "Dirección por Área").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Tiempo de Espera para Resultados ("Empezar a ver algo"):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`4 Meses`</w:t>
      </w:r>
      <w:r>
        <w:rPr>
          <w:rFonts w:ascii="Calibri" w:hAnsi="Calibri"/>
          <w:color w:val="334155"/>
          <w:sz w:val="22"/>
        </w:rPr>
        <w:t xml:space="preserve"> *(Argumentando que deben "construir todo desde cero")*.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Especialización Sectorial: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Cero experiencia demostrada</w:t>
      </w:r>
      <w:r>
        <w:rPr>
          <w:rFonts w:ascii="Calibri" w:hAnsi="Calibri"/>
          <w:color w:val="334155"/>
          <w:sz w:val="22"/>
        </w:rPr>
        <w:t xml:space="preserve"> en medios de pago, adquirencia bancaria o regulación de petrolíferos (Anexo 30 SAT / CNE).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Entregables Ofrecidos:</w:t>
      </w:r>
      <w:r>
        <w:rPr>
          <w:rFonts w:ascii="Calibri" w:hAnsi="Calibri"/>
          <w:color w:val="334155"/>
          <w:sz w:val="22"/>
        </w:rPr>
        <w:t xml:space="preserve"> Materiales genéricos de autogestión, parrillas de redes sociales generalistas y plantillas estándar en herramientas como Zoho.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2. ⚡ La Alternativa Ejecutable: PayMind Growth Engine (En Vivo en 24 Horas)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</w:rPr>
              <w:t>Tiempo de Inicio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4 Meses de preparación ("Construir desde 0")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</w:rPr>
              <w:t>Inmediato (0 días)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Costo Operativo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$120,000 MXN en los primeros 4 meses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~$1,000 MXN/mes</w:t>
            </w:r>
            <w:r>
              <w:rPr>
                <w:rFonts w:ascii="Calibri" w:hAnsi="Calibri"/>
                <w:color w:val="334155"/>
                <w:sz w:val="22"/>
              </w:rPr>
              <w:t xml:space="preserve"> ($50 USD Snov.io)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Base de Datos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Sin prospects (Tendrían que salir a buscar)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433 Estaciones Cualificadas y Limpias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Especialización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Genérica (Marketing para cualquier PYME)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Física &amp; Operativa Real:</w:t>
            </w:r>
            <w:r>
              <w:rPr>
                <w:rFonts w:ascii="Calibri" w:hAnsi="Calibri"/>
                <w:color w:val="334155"/>
                <w:sz w:val="22"/>
              </w:rPr>
              <w:t xml:space="preserve"> El "baile de terminales", cierres de turno a las 2 PM y vales T+1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Herramientas de Conversión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Landing page en borrador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Calculadora Financiera Web en Vivo</w:t>
            </w:r>
            <w:r>
              <w:rPr>
                <w:rFonts w:ascii="Calibri" w:hAnsi="Calibri"/>
                <w:color w:val="334155"/>
                <w:sz w:val="22"/>
              </w:rPr>
              <w:t xml:space="preserve"> (</w:t>
            </w:r>
            <w:r>
              <w:rPr>
                <w:rFonts w:ascii="Calibri" w:hAnsi="Calibri"/>
                <w:color w:val="2563EB"/>
                <w:u w:val="single"/>
              </w:rPr>
              <w:t>`paymind-growth-engine.pages.dev`</w:t>
            </w:r>
            <w:r>
              <w:rPr>
                <w:rFonts w:ascii="Calibri" w:hAnsi="Calibri"/>
                <w:color w:val="334155"/>
                <w:sz w:val="22"/>
              </w:rPr>
              <w:t>)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3. 🎯 Los 4 Activos Listos para Desplegar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Secuencia Socrática de Outbound Directo (4 Pasos)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1 (Día 1):</w:t>
      </w:r>
      <w:r>
        <w:rPr>
          <w:rFonts w:ascii="Calibri" w:hAnsi="Calibri"/>
          <w:color w:val="334155"/>
          <w:sz w:val="22"/>
        </w:rPr>
        <w:t xml:space="preserve"> Agilizar cobro en bomba sin pedir al grupo que cambie su sistema actual de control ni su banco adquirente.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2 (Día 4):</w:t>
      </w:r>
      <w:r>
        <w:rPr>
          <w:rFonts w:ascii="Calibri" w:hAnsi="Calibri"/>
          <w:color w:val="334155"/>
          <w:sz w:val="22"/>
        </w:rPr>
        <w:t xml:space="preserve"> Resolver el "baile de las terminales" entre despachadores y eliminar errores de dedo ante el SAT.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3 (Día 8):</w:t>
      </w:r>
      <w:r>
        <w:rPr>
          <w:rFonts w:ascii="Calibri" w:hAnsi="Calibri"/>
          <w:color w:val="334155"/>
          <w:sz w:val="22"/>
        </w:rPr>
        <w:t xml:space="preserve"> Cierres de turno digitales en 2 minutos a las 2:00 PM sin frenar la atención a hora pico + vales T+1.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4 (Día 12):</w:t>
      </w:r>
      <w:r>
        <w:rPr>
          <w:rFonts w:ascii="Calibri" w:hAnsi="Calibri"/>
          <w:color w:val="334155"/>
          <w:sz w:val="22"/>
        </w:rPr>
        <w:t xml:space="preserve"> Enlace directo a la Calculadora Financiera de Gasolineras.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B. Lead Magnets Listos para Entregar (PDFs Ejecutivos de 2 Páginas)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*"Guía de Integración Ligera: Cómo conectar cobro en bomba a tu control volumétrico actual sin cambiar de proveedor"*.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*"Checklist de Cierre de Turno: Unificación de reportes de Edenred, Sodexo y tarjetas en 1 sola terminal con dinero T+1"*.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C. Calculadora Financiera Web Interactiva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Herramienta visual en vivo donde el dueño o contador ingresa su número de estaciones y volumen mensual, desglosando la carga del IEPS/IVA y el ahorro neto en comisiones.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D. Validación de Mercado &amp; Certificaciones de Hardware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Caso de Éxito Validador:</w:t>
      </w:r>
      <w:r>
        <w:rPr>
          <w:rFonts w:ascii="Calibri" w:hAnsi="Calibri"/>
          <w:color w:val="334155"/>
          <w:sz w:val="22"/>
        </w:rPr>
        <w:t xml:space="preserve"> Referencia directa de procesar transacciones para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color w:val="334155"/>
          <w:sz w:val="22"/>
        </w:rPr>
        <w:t>, eliminando dudas de escala ante grupos medianos.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Certificación ATEX Antichispas + PCI 6.x:</w:t>
      </w:r>
      <w:r>
        <w:rPr>
          <w:rFonts w:ascii="Calibri" w:hAnsi="Calibri"/>
          <w:color w:val="334155"/>
          <w:sz w:val="22"/>
        </w:rPr>
        <w:t xml:space="preserve"> Terminales </w:t>
      </w:r>
      <w:r>
        <w:rPr>
          <w:rFonts w:ascii="Calibri" w:hAnsi="Calibri"/>
          <w:b/>
          <w:color w:val="0F172A"/>
        </w:rPr>
        <w:t>Nexgo SmartPOS</w:t>
      </w:r>
      <w:r>
        <w:rPr>
          <w:rFonts w:ascii="Calibri" w:hAnsi="Calibri"/>
          <w:color w:val="334155"/>
          <w:sz w:val="22"/>
        </w:rPr>
        <w:t xml:space="preserve"> totalmente preparadas para operar de forma segura en la isla de carga.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4. 📈 Retorno Financiero Estimado para el CEO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Proyección de Conversión Probabilística sobre 433 Gasolineras: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Probabilidad de Cierre $\ge 1$ Grupo Gasolinero: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`90.8%`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Resultado Esperado (Caso Base):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2 a 3 Grupos Cerrados</w:t>
      </w:r>
      <w:r>
        <w:rPr>
          <w:rFonts w:ascii="Calibri" w:hAnsi="Calibri"/>
          <w:color w:val="334155"/>
          <w:sz w:val="22"/>
        </w:rPr>
        <w:t xml:space="preserve"> (6 a 9 Estaciones de Servicio incorporadas).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Ingreso Recurrente Anual Estimado para PayMind: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`$324,000 a $486,000 MXN`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Recomendación Inmediata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Ejecutar la prospección directa utilizando la infraestructura in-house desarrollada y reasignar el presupuesto de pauta ($10,000 - $15,000 MXN/mes) a generación directa de demanda en Facebook/LinkedIn dirigida únicamente a tomadores de decisiones cualificados.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