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Secuencia A/B revisada: operación + evidencia de PayMind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Criterio de uso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La secuencia ya no se presenta como una investigación académica. Cada correo combina tres elementos: una pregunta concreta sobre la operación, una hipótesis limitada sobre dónde puede encajar PayMind y una señal de credibilidad. La señal principal es que </w:t>
      </w:r>
      <w:r>
        <w:rPr>
          <w:rFonts w:ascii="Calibri" w:hAnsi="Calibri"/>
          <w:b/>
          <w:color w:val="0F172A"/>
        </w:rPr>
        <w:t>Orsan aparece públicamente entre las empresas que confían en PayMind</w:t>
      </w:r>
      <w:r>
        <w:rPr>
          <w:rFonts w:ascii="Calibri" w:hAnsi="Calibri"/>
          <w:color w:val="334155"/>
          <w:sz w:val="22"/>
        </w:rPr>
        <w:t>. Como el sitio público no expone todavía un caso detallado con métricas, no se debe escribir que PayMind logró un ahorro, una reducción de tiempos o un aumento de ventas en Orsan a menos que exista una autorización y un dato documentado.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También pueden utilizarse, con contexto, los datos públicos de PayMind: </w:t>
      </w:r>
      <w:r>
        <w:rPr>
          <w:rFonts w:ascii="Calibri" w:hAnsi="Calibri"/>
          <w:b/>
          <w:color w:val="0F172A"/>
        </w:rPr>
        <w:t>más de 15,000 transacciones al mes, 99.9% de uptime y más de 10 integraciones</w:t>
      </w:r>
      <w:r>
        <w:rPr>
          <w:rFonts w:ascii="Calibri" w:hAnsi="Calibri"/>
          <w:color w:val="334155"/>
          <w:sz w:val="22"/>
        </w:rPr>
        <w:t>. Es mejor presentarlos como escala y capacidad de infraestructura, no como resultados específicos de una gasolinera [1].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La diferencia entre las variantes debe permanecer limpia. La Variante A entra por el proceso operativo. La Variante B entra por la persona responsable. Ambas mencionan PayMind y Orsan una sola vez, después de explicar por qué el tema puede ser relevante.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Variante A — Proceso operativo con evidencia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A1 — Primer contacto</w:t>
      </w:r>
    </w:p>
    <w:p>
      <w:pPr>
        <w:spacing w:after="80"/>
      </w:pPr>
      <w:r>
        <w:rPr>
          <w:rFonts w:ascii="Calibri" w:hAnsi="Calibri"/>
          <w:b/>
          <w:color w:val="0F172A"/>
        </w:rPr>
        <w:t>Asunto:</w:t>
      </w:r>
      <w:r>
        <w:rPr>
          <w:rFonts w:ascii="Calibri" w:hAnsi="Calibri"/>
          <w:color w:val="334155"/>
          <w:sz w:val="22"/>
        </w:rPr>
        <w:t xml:space="preserve"> Una pregunta sobre el pago en pista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Buen día,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Quisiera hacer una pregunta sobre cómo se resuelve actualmente el pago con tarjeta durante la carga de combustible.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En PayMind trabajamos en infraestructura de pagos, conciliación e integración con sistemas existentes. Orsan aparece entre las empresas que confían en PayMind, y estamos buscando entender cómo varían estos procesos entre distintos grupos y estaciones.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¿El pago se realiza normalmente en la posición, en caja o mediante otro esquema?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Si este tema corresponde a otra área, agradecería mucho que me orientara.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Saludos,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 Gutiérrez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PayMind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antonio.gutierrez@paymind.mx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A2 — Segundo contacto</w:t>
      </w:r>
    </w:p>
    <w:p>
      <w:pPr>
        <w:spacing w:after="80"/>
      </w:pPr>
      <w:r>
        <w:rPr>
          <w:rFonts w:ascii="Calibri" w:hAnsi="Calibri"/>
          <w:b/>
          <w:color w:val="0F172A"/>
        </w:rPr>
        <w:t>Asunto:</w:t>
      </w:r>
      <w:r>
        <w:rPr>
          <w:rFonts w:ascii="Calibri" w:hAnsi="Calibri"/>
          <w:color w:val="334155"/>
          <w:sz w:val="22"/>
        </w:rPr>
        <w:t xml:space="preserve"> Sobre la relación entre pago y sistema de estación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Buen día,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Retomo la consulta anterior.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La parte que estamos tratando de entender es cómo se relacionan la autorización del pago, la posición de carga, el comprobante y la conciliación posterior. PayMind cuenta con APIs, integraciones con procesadores y herramientas de conciliación; no sé si esa capa se administra dentro de su sistema actual o por separado.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¿Quién suele revisar esa parte de la operación?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Saludos,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 Gutiérrez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PayMind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antonio.gutierrez@paymind.mx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A3 — Tercer contacto</w:t>
      </w:r>
    </w:p>
    <w:p>
      <w:pPr>
        <w:spacing w:after="80"/>
      </w:pPr>
      <w:r>
        <w:rPr>
          <w:rFonts w:ascii="Calibri" w:hAnsi="Calibri"/>
          <w:b/>
          <w:color w:val="0F172A"/>
        </w:rPr>
        <w:t>Asunto:</w:t>
      </w:r>
      <w:r>
        <w:rPr>
          <w:rFonts w:ascii="Calibri" w:hAnsi="Calibri"/>
          <w:color w:val="334155"/>
          <w:sz w:val="22"/>
        </w:rPr>
        <w:t xml:space="preserve"> ¿Cómo manejan las excepciones del pago?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Buen día,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Una pregunta más específica: cuando un pago en pista se rechaza, se cancela o requiere revisión posterior, ¿qué área se encarga de resolverlo y dónde queda registrado?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Lo pregunto porque estamos evaluando cómo debe convivir una solución de pagos con los sistemas que ya utiliza una estación. No estoy asumiendo que su proceso actual necesite cambiarse.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Saludos,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 Gutiérrez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PayMind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antonio.gutierrez@paymind.mx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A4 — Cuarto contacto</w:t>
      </w:r>
    </w:p>
    <w:p>
      <w:pPr>
        <w:spacing w:after="80"/>
      </w:pPr>
      <w:r>
        <w:rPr>
          <w:rFonts w:ascii="Calibri" w:hAnsi="Calibri"/>
          <w:b/>
          <w:color w:val="0F172A"/>
        </w:rPr>
        <w:t>Asunto:</w:t>
      </w:r>
      <w:r>
        <w:rPr>
          <w:rFonts w:ascii="Calibri" w:hAnsi="Calibri"/>
          <w:color w:val="334155"/>
          <w:sz w:val="22"/>
        </w:rPr>
        <w:t xml:space="preserve"> ¿Tiene sentido revisar este flujo?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Buen día,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PayMind también trabaja con terminales, pagos con tarjeta, SPEI, tokenización, monitoreo y conciliación. La pregunta es si alguna de esas capacidades tendría sentido conectada al flujo de cobro durante la carga, o si ese proceso ya está completamente resuelto en su operación.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Si fuera razonable revisarlo, ¿sería posible conversar 15 minutos con la persona que lleva pagos, operaciones o sistemas?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Saludos,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 Gutiérrez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PayMind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antonio.gutierrez@paymind.mx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A5 — Cierre</w:t>
      </w:r>
    </w:p>
    <w:p>
      <w:pPr>
        <w:spacing w:after="80"/>
      </w:pPr>
      <w:r>
        <w:rPr>
          <w:rFonts w:ascii="Calibri" w:hAnsi="Calibri"/>
          <w:b/>
          <w:color w:val="0F172A"/>
        </w:rPr>
        <w:t>Asunto:</w:t>
      </w:r>
      <w:r>
        <w:rPr>
          <w:rFonts w:ascii="Calibri" w:hAnsi="Calibri"/>
          <w:color w:val="334155"/>
          <w:sz w:val="22"/>
        </w:rPr>
        <w:t xml:space="preserve"> Cierro la consulta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Buen día,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Cierro el hilo para no insistir.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Me interesaba entender cómo se relacionan el pago en pista, el sistema de la estación y la conciliación antes de proponer algo. Si el tema ya está resuelto o no corresponde a su operación, lo entiendo perfectamente.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Gracias por su tiempo.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Saludos,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 Gutiérrez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PayMind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antonio.gutierrez@paymind.mx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Variante B — Responsable adecuado con evidencia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B1 — Primer contacto</w:t>
      </w:r>
    </w:p>
    <w:p>
      <w:pPr>
        <w:spacing w:after="80"/>
      </w:pPr>
      <w:r>
        <w:rPr>
          <w:rFonts w:ascii="Calibri" w:hAnsi="Calibri"/>
          <w:b/>
          <w:color w:val="0F172A"/>
        </w:rPr>
        <w:t>Asunto:</w:t>
      </w:r>
      <w:r>
        <w:rPr>
          <w:rFonts w:ascii="Calibri" w:hAnsi="Calibri"/>
          <w:color w:val="334155"/>
          <w:sz w:val="22"/>
        </w:rPr>
        <w:t xml:space="preserve"> ¿Quién revisa pagos e integración en la estación?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Buen día,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¿Podría orientarme sobre quién revisa la operación de pagos con tarjeta y su relación con el sistema de la estación?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En PayMind trabajamos con pagos, conciliación e integraciones con sistemas existentes. Orsan aparece entre las empresas que confían en PayMind, y estamos tratando de entender cómo se organiza este proceso en distintos grupos gasolineros.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No sé si corresponde a operaciones, sistemas, administración u otra área. Agradecería mucho que me indicara con quién conviene hablar.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Saludos,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 Gutiérrez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PayMind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antonio.gutierrez@paymind.mx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B2 — Segundo contacto</w:t>
      </w:r>
    </w:p>
    <w:p>
      <w:pPr>
        <w:spacing w:after="80"/>
      </w:pPr>
      <w:r>
        <w:rPr>
          <w:rFonts w:ascii="Calibri" w:hAnsi="Calibri"/>
          <w:b/>
          <w:color w:val="0F172A"/>
        </w:rPr>
        <w:t>Asunto:</w:t>
      </w:r>
      <w:r>
        <w:rPr>
          <w:rFonts w:ascii="Calibri" w:hAnsi="Calibri"/>
          <w:color w:val="334155"/>
          <w:sz w:val="22"/>
        </w:rPr>
        <w:t xml:space="preserve"> ¿Me podría indicar el área correspondiente?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Buen día,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Sólo busco evitar escribirle a la persona equivocada.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¿Quién conoce la relación entre terminales, pagos en pista, comprobantes y conciliación? PayMind puede trabajar mediante APIs e integraciones, pero primero necesitamos entender qué sistemas intervienen en la operación actual.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Si no es un tema de su área, agradecería cualquier orientación.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Saludos,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 Gutiérrez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PayMind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antonio.gutierrez@paymind.mx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B3 — Tercer contacto</w:t>
      </w:r>
    </w:p>
    <w:p>
      <w:pPr>
        <w:spacing w:after="80"/>
      </w:pPr>
      <w:r>
        <w:rPr>
          <w:rFonts w:ascii="Calibri" w:hAnsi="Calibri"/>
          <w:b/>
          <w:color w:val="0F172A"/>
        </w:rPr>
        <w:t>Asunto:</w:t>
      </w:r>
      <w:r>
        <w:rPr>
          <w:rFonts w:ascii="Calibri" w:hAnsi="Calibri"/>
          <w:color w:val="334155"/>
          <w:sz w:val="22"/>
        </w:rPr>
        <w:t xml:space="preserve"> Una pregunta para el área indicada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Buen día,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La pregunta concreta es la siguiente: cuando una transacción en la posición se autoriza, se rechaza o necesita una corrección, ¿cómo se refleja en el sistema de la estación y quién la revisa?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No busco asumir que haya un problema. Estoy tratando de entender el flujo antes de saber si PayMind puede aportar algo.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¿Con quién sería mejor revisarlo?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Saludos,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 Gutiérrez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PayMind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antonio.gutierrez@paymind.mx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B4 — Cuarto contacto</w:t>
      </w:r>
    </w:p>
    <w:p>
      <w:pPr>
        <w:spacing w:after="80"/>
      </w:pPr>
      <w:r>
        <w:rPr>
          <w:rFonts w:ascii="Calibri" w:hAnsi="Calibri"/>
          <w:b/>
          <w:color w:val="0F172A"/>
        </w:rPr>
        <w:t>Asunto:</w:t>
      </w:r>
      <w:r>
        <w:rPr>
          <w:rFonts w:ascii="Calibri" w:hAnsi="Calibri"/>
          <w:color w:val="334155"/>
          <w:sz w:val="22"/>
        </w:rPr>
        <w:t xml:space="preserve"> ¿Vale la pena seguir con esta conversación?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Buen día,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PayMind cuenta con capacidades de pagos con tarjeta, SPEI, monitoreo, tokenización y conciliación. No buscamos sugerir un cambio sin entender primero la operación de su estación.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¿Tiene sentido revisar si alguna de esas capacidades encaja con su operación de cobro en pista?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Si no es relevante, no hay problema.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Saludos,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 Gutiérrez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PayMind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antonio.gutierrez@paymind.mx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B5 — Cierre</w:t>
      </w:r>
    </w:p>
    <w:p>
      <w:pPr>
        <w:spacing w:after="80"/>
      </w:pPr>
      <w:r>
        <w:rPr>
          <w:rFonts w:ascii="Calibri" w:hAnsi="Calibri"/>
          <w:b/>
          <w:color w:val="0F172A"/>
        </w:rPr>
        <w:t>Asunto:</w:t>
      </w:r>
      <w:r>
        <w:rPr>
          <w:rFonts w:ascii="Calibri" w:hAnsi="Calibri"/>
          <w:color w:val="334155"/>
          <w:sz w:val="22"/>
        </w:rPr>
        <w:t xml:space="preserve"> Cierro la consulta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Buen día,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Cierro esta consulta para no insistir.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Quería encontrar a la persona adecuada y entender cómo se relacionan los pagos con la operación de la estación. Si en algún momento tiene sentido revisarlo, quedo disponible.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Gracias por leerme.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Saludos,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 Gutiérrez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PayMind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antonio.gutierrez@paymind.mx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Qué cambió frente a la versión anterior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Antes</w:t>
            </w:r>
          </w:p>
        </w:tc>
        <w:tc>
          <w:tcPr>
            <w:tcW w:type="dxa" w:w="4968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Ahora</w:t>
            </w:r>
          </w:p>
        </w:tc>
      </w:tr>
      <w:tr>
        <w:tc>
          <w:tcPr>
            <w:tcW w:type="dxa" w:w="4968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“Estoy tratando de entender” como motivo principal</w:t>
            </w:r>
          </w:p>
        </w:tc>
        <w:tc>
          <w:tcPr>
            <w:tcW w:type="dxa" w:w="4968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Se explica qué hace PayMind y por qué la pregunta importa.</w:t>
            </w:r>
          </w:p>
        </w:tc>
      </w:tr>
      <w:tr>
        <w:tc>
          <w:tcPr>
            <w:tcW w:type="dxa" w:w="4968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Curiosidad sin evidencia</w:t>
            </w:r>
          </w:p>
        </w:tc>
        <w:tc>
          <w:tcPr>
            <w:tcW w:type="dxa" w:w="4968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Curiosidad respaldada por Orsan y capacidades concretas.</w:t>
            </w:r>
          </w:p>
        </w:tc>
      </w:tr>
      <w:tr>
        <w:tc>
          <w:tcPr>
            <w:tcW w:type="dxa" w:w="4968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Preguntas repetidas sobre el mismo flujo</w:t>
            </w:r>
          </w:p>
        </w:tc>
        <w:tc>
          <w:tcPr>
            <w:tcW w:type="dxa" w:w="4968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Secuencia progresiva: proceso, sistemas, excepciones, relevancia y cierre.</w:t>
            </w:r>
          </w:p>
        </w:tc>
      </w:tr>
      <w:tr>
        <w:tc>
          <w:tcPr>
            <w:tcW w:type="dxa" w:w="4968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Posible insinuación de un problema</w:t>
            </w:r>
          </w:p>
        </w:tc>
        <w:tc>
          <w:tcPr>
            <w:tcW w:type="dxa" w:w="4968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Se plantean hipótesis limitadas y se reconoce que el proceso puede funcionar bien.</w:t>
            </w:r>
          </w:p>
        </w:tc>
      </w:tr>
      <w:tr>
        <w:tc>
          <w:tcPr>
            <w:tcW w:type="dxa" w:w="4968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Producto ausente o presentado demasiado tarde</w:t>
            </w:r>
          </w:p>
        </w:tc>
        <w:tc>
          <w:tcPr>
            <w:tcW w:type="dxa" w:w="4968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PayMind aparece desde el primer correo, pero sin convertirlo en demo ni pitch.</w:t>
            </w:r>
          </w:p>
        </w:tc>
      </w:tr>
      <w:tr>
        <w:tc>
          <w:tcPr>
            <w:tcW w:type="dxa" w:w="4968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Caso de éxito implícito</w:t>
            </w:r>
          </w:p>
        </w:tc>
        <w:tc>
          <w:tcPr>
            <w:tcW w:type="dxa" w:w="4968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Orsan se usa como referencia pública, sin inventar resultados.</w:t>
            </w:r>
          </w:p>
        </w:tc>
      </w:tr>
    </w:tbl>
    <w:p/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Advertencia sobre Orsan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La frase “Orsan aparece entre las empresas que confían en PayMind” está respaldada por la sección pública de clientes de PayMind [1]. Si existe un caso de éxito autorizado con un resultado específico, conviene sustituir esa frase por un dato concreto: qué solución se implementó, en qué parte del flujo, desde cuándo y qué resultado fue medido. Hasta contar con ese detalle, no usar “caso de éxito de Orsan” como si existiera un estudio público.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Referencia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[1]: https://www.paymind.mx/ "PayMind — servicios, clientes publicados y métricas generales de infraestructura"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