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🧠 Framework de Comunicación C-Level &amp; Regla de la Tercera Transferencia</w:t>
      </w:r>
    </w:p>
    <w:p>
      <w:pPr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ind w:left="576"/>
      </w:pPr>
      <w:r>
        <w:rPr>
          <w:rFonts w:ascii="Calibri" w:hAnsi="Calibri"/>
          <w:i/>
          <w:color w:val="475569"/>
        </w:rPr>
        <w:t>**Basado en:** Metodología CPS, Regla de la Tercera Transferencia y Matriz de Adaptación por Rol Ejecutivo (C-Level).</w:t>
      </w:r>
    </w:p>
    <w:p>
      <w:pPr>
        <w:ind w:left="576"/>
      </w:pPr>
      <w:r>
        <w:rPr>
          <w:rFonts w:ascii="Calibri" w:hAnsi="Calibri"/>
          <w:i/>
          <w:color w:val="475569"/>
        </w:rPr>
        <w:t>**Ámbito:** Exclusivo Sector Gasolinero México 2026.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📐 1. La Ley de la Tercera Transferencia (¿Qué llega realmente al CFO?)</w:t>
      </w:r>
    </w:p>
    <w:p>
      <w:r>
        <w:rPr>
          <w:rFonts w:ascii="Calibri" w:hAnsi="Calibri"/>
          <w:sz w:val="22"/>
        </w:rPr>
        <w:t xml:space="preserve">En ventas B2B complejas (CPS), la demo inicial la ve un "Champion" (Gerente de Estación, Contador o Encargado de TI). Sin embargo, el tomador de decisión final (el Dueño o CFO) </w:t>
      </w:r>
      <w:r>
        <w:rPr>
          <w:rFonts w:ascii="Calibri" w:hAnsi="Calibri"/>
          <w:b/>
          <w:color w:val="0F172A"/>
        </w:rPr>
        <w:t>nunca ve la demo completa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 xml:space="preserve">La propuesta de PayMind no debe diseñarse para la demo, sino para lo que </w:t>
      </w:r>
      <w:r>
        <w:rPr>
          <w:rFonts w:ascii="Calibri" w:hAnsi="Calibri"/>
          <w:b/>
          <w:color w:val="0F172A"/>
        </w:rPr>
        <w:t>SOBREVIVE a la tercera transferencia</w:t>
      </w:r>
      <w:r>
        <w:rPr>
          <w:rFonts w:ascii="Calibri" w:hAnsi="Calibri"/>
          <w:sz w:val="22"/>
        </w:rPr>
        <w:t>: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┌────────────────────────────────┐</w:t>
      </w:r>
    </w:p>
    <w:p>
      <w:r>
        <w:rPr>
          <w:rFonts w:ascii="Calibri" w:hAnsi="Calibri"/>
          <w:sz w:val="22"/>
        </w:rPr>
        <w:t>│        DEMO (100% Data)        │ ➔ "Reducimos 12 horas por empleado y bloqueamos</w:t>
      </w:r>
    </w:p>
    <w:p>
      <w:r>
        <w:rPr>
          <w:rFonts w:ascii="Calibri" w:hAnsi="Calibri"/>
          <w:sz w:val="22"/>
        </w:rPr>
        <w:t>└───────────────┬────────────────┘    la terminal SmartPOS al dispensario ATEX."</w:t>
      </w:r>
    </w:p>
    <w:p>
      <w:r>
        <w:rPr>
          <w:rFonts w:ascii="Calibri" w:hAnsi="Calibri"/>
          <w:sz w:val="22"/>
        </w:rPr>
        <w:t>│</w:t>
      </w:r>
    </w:p>
    <w:p>
      <w:r>
        <w:rPr>
          <w:rFonts w:ascii="Calibri" w:hAnsi="Calibri"/>
          <w:sz w:val="22"/>
        </w:rPr>
        <w:t>▼ (Perdida de 40% del contexto)</w:t>
      </w:r>
    </w:p>
    <w:p>
      <w:r>
        <w:rPr>
          <w:rFonts w:ascii="Calibri" w:hAnsi="Calibri"/>
          <w:sz w:val="22"/>
        </w:rPr>
        <w:t>┌────────────────────────────────┐</w:t>
      </w:r>
    </w:p>
    <w:p>
      <w:r>
        <w:rPr>
          <w:rFonts w:ascii="Calibri" w:hAnsi="Calibri"/>
          <w:sz w:val="22"/>
        </w:rPr>
        <w:t>│      CHAMPION (60% Data)       │ ➔ "El equipo ahorra mucho tiempo en la bomba y</w:t>
      </w:r>
    </w:p>
    <w:p>
      <w:r>
        <w:rPr>
          <w:rFonts w:ascii="Calibri" w:hAnsi="Calibri"/>
          <w:sz w:val="22"/>
        </w:rPr>
        <w:t>└───────────────┬────────────────┘    evitamos errores de tecleo."</w:t>
      </w:r>
    </w:p>
    <w:p>
      <w:r>
        <w:rPr>
          <w:rFonts w:ascii="Calibri" w:hAnsi="Calibri"/>
          <w:sz w:val="22"/>
        </w:rPr>
        <w:t>│</w:t>
      </w:r>
    </w:p>
    <w:p>
      <w:r>
        <w:rPr>
          <w:rFonts w:ascii="Calibri" w:hAnsi="Calibri"/>
          <w:sz w:val="22"/>
        </w:rPr>
        <w:t>▼ (Perdida de 40% adicional)</w:t>
      </w:r>
    </w:p>
    <w:p>
      <w:r>
        <w:rPr>
          <w:rFonts w:ascii="Calibri" w:hAnsi="Calibri"/>
          <w:sz w:val="22"/>
        </w:rPr>
        <w:t>┌────────────────────────────────┐</w:t>
      </w:r>
    </w:p>
    <w:p>
      <w:r>
        <w:rPr>
          <w:rFonts w:ascii="Calibri" w:hAnsi="Calibri"/>
          <w:sz w:val="22"/>
        </w:rPr>
        <w:t>│        CFO (20% Data)          │ ➔ "Hay ganancias de eficiencia y recuperamos</w:t>
      </w:r>
    </w:p>
    <w:p>
      <w:r>
        <w:rPr>
          <w:rFonts w:ascii="Calibri" w:hAnsi="Calibri"/>
          <w:sz w:val="22"/>
        </w:rPr>
        <w:t>└────────────────────────────────┘    el costo de 1 pipa de gasolina al año."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🎯 La Frase que DEBE Sobrevivir para PayMind:</w:t>
      </w:r>
    </w:p>
    <w:p>
      <w:pPr>
        <w:ind w:left="576"/>
      </w:pPr>
      <w:r>
        <w:rPr>
          <w:rFonts w:ascii="Calibri" w:hAnsi="Calibri"/>
          <w:i/>
          <w:color w:val="475569"/>
        </w:rPr>
        <w:t>**"Conectar PayMind al volumétrico nos ahorra el 0.6% de comisiones (equivalente a recuperar 1 pipa de gasolina al año por estación) y elimina las multas del SAT por errores de tecleo."**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👥 2. Matriz de Comunicación por Rol (Perfil C-Level)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Rol / Perfil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Estilo de Comunicación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Discurso Clave de PayMind (Open Loop)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CEO / El Dueño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Directo &amp; Visión de Conjunto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*"Aumenta el margen neto de tus estaciones en 0.6% por litro y protege el valor de tu patrimonio sin cambiar tu banco ni tu sistema actual."*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CFO / El Contador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Números, Hechos &amp; Análisis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*"Conciliación automática en tiempo real inyectada a tu ERP (NexusFuel/Intelisis/Odoo) con depósitos T+1 en tarjetas bancarias."*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CRO / Director Comercial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ROI &amp; Visión de Escalabilidad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*"Cobro en bomba en 10 segundos para eliminar filas a las 2:00 PM y capturar los $800 MXN que hoy se van a la competencia."*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CTO / Gerente de TI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Cauteloso, Monótono &amp; Detallista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*"Terminales Nexgo Android con certificación PCI 6.x y especificación ATEX antichispas. Integración bidireccional por API/Webhooks."*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CMO / Marketing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Ideas Creativas &amp; Analítica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*"Pantallas SmartPOS de alta definición para proyectar ofertas de aditivos y productos de tienda durante los 45 segundos de carga."*</w:t>
            </w:r>
          </w:p>
        </w:tc>
      </w:tr>
    </w:tbl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🎪 3. Ecosistema de Expositores &amp; Partners Identificados en el Sector</w:t>
      </w:r>
    </w:p>
    <w:p>
      <w:r>
        <w:rPr>
          <w:rFonts w:ascii="Calibri" w:hAnsi="Calibri"/>
          <w:sz w:val="22"/>
        </w:rPr>
        <w:t xml:space="preserve">Basado en el evento de referencia nacional </w:t>
      </w:r>
      <w:r>
        <w:rPr>
          <w:rFonts w:ascii="Calibri" w:hAnsi="Calibri"/>
          <w:b/>
          <w:color w:val="0F172A"/>
        </w:rPr>
        <w:t>*De Gasolinero a Gasolinero</w:t>
      </w:r>
      <w:r>
        <w:rPr>
          <w:rFonts w:ascii="Calibri" w:hAnsi="Calibri"/>
          <w:sz w:val="22"/>
        </w:rPr>
        <w:t>* (organizado por Mariano Gutiérrez / *Mi Gasolinera*), los proveedores clave con los que PayMind convive e integra son: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alibri" w:hAnsi="Calibri"/>
          <w:sz w:val="22"/>
        </w:rPr>
        <w:t>│             SOFWARES Y PLATAFORMAS CLAVE DEL SECTOR GASOLINERO                   │</w:t>
      </w:r>
    </w:p>
    <w:p>
      <w:r>
        <w:rPr>
          <w:rFonts w:ascii="Calibri" w:hAnsi="Calibri"/>
          <w:sz w:val="22"/>
        </w:rPr>
        <w:t>├──────────────────────────┬───────────────────────────────────────────────────────┤</w:t>
      </w:r>
    </w:p>
    <w:p>
      <w:r>
        <w:rPr>
          <w:rFonts w:ascii="Calibri" w:hAnsi="Calibri"/>
          <w:sz w:val="22"/>
        </w:rPr>
        <w:t>│ ERPs &amp; Administración    │ NexusFuel, Gaslight System, Energiamas                │</w:t>
      </w:r>
    </w:p>
    <w:p>
      <w:r>
        <w:rPr>
          <w:rFonts w:ascii="Calibri" w:hAnsi="Calibri"/>
          <w:sz w:val="22"/>
        </w:rPr>
        <w:t>├──────────────────────────┼───────────────────────────────────────────────────────┤</w:t>
      </w:r>
    </w:p>
    <w:p>
      <w:r>
        <w:rPr>
          <w:rFonts w:ascii="Calibri" w:hAnsi="Calibri"/>
          <w:sz w:val="22"/>
        </w:rPr>
        <w:t>│ Volumétricos &amp; Isla      │ ATIO Group (ControlGAS), eGas, KernoTek, Controlux    │</w:t>
      </w:r>
    </w:p>
    <w:p>
      <w:r>
        <w:rPr>
          <w:rFonts w:ascii="Calibri" w:hAnsi="Calibri"/>
          <w:sz w:val="22"/>
        </w:rPr>
        <w:t>├──────────────────────────┼───────────────────────────────────────────────────────┤</w:t>
      </w:r>
    </w:p>
    <w:p>
      <w:r>
        <w:rPr>
          <w:rFonts w:ascii="Calibri" w:hAnsi="Calibri"/>
          <w:sz w:val="22"/>
        </w:rPr>
        <w:t>│ Consultoría &amp; Cumplimiento│ Grupo CIITA, UV Consulting Group, Conformiteas        │</w:t>
      </w:r>
    </w:p>
    <w:p>
      <w:r>
        <w:rPr>
          <w:rFonts w:ascii="Calibri" w:hAnsi="Calibri"/>
          <w:sz w:val="22"/>
        </w:rPr>
        <w:t>└──────────────────────────┴───────────────────────────────────────────────────────┘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💡 4. Aplicación Práctica en la Secuencia Outbound (Snov.io / WhatsApp)</w:t>
      </w:r>
    </w:p>
    <w:p>
      <w:r>
        <w:rPr>
          <w:rFonts w:ascii="Calibri" w:hAnsi="Calibri"/>
          <w:sz w:val="22"/>
        </w:rPr>
        <w:t xml:space="preserve">Al contactar a los </w:t>
      </w:r>
      <w:r>
        <w:rPr>
          <w:rFonts w:ascii="Calibri" w:hAnsi="Calibri"/>
          <w:b/>
          <w:color w:val="0F172A"/>
        </w:rPr>
        <w:t>433 prospectos</w:t>
      </w:r>
      <w:r>
        <w:rPr>
          <w:rFonts w:ascii="Calibri" w:hAnsi="Calibri"/>
          <w:sz w:val="22"/>
        </w:rPr>
        <w:t>, adaptamos el correo dependiendo del cargo identificado:</w:t>
      </w:r>
    </w:p>
    <w:p>
      <w:pPr>
        <w:pStyle w:val="ListBullet"/>
      </w:pPr>
      <w:r>
        <w:rPr>
          <w:rFonts w:ascii="Calibri" w:hAnsi="Calibri"/>
          <w:b/>
          <w:color w:val="0F172A"/>
        </w:rPr>
        <w:t>Si el contacto es Director / Dueño (CEO):</w:t>
      </w:r>
      <w:r>
        <w:rPr>
          <w:rFonts w:ascii="Calibri" w:hAnsi="Calibri"/>
          <w:sz w:val="22"/>
        </w:rPr>
        <w:t xml:space="preserve"> Enviar Lead Magnet 2 (Matriz Financiera de Margen - 1 Página).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Si el contacto es Contador / Contralor (CFO):</w:t>
      </w:r>
      <w:r>
        <w:rPr>
          <w:rFonts w:ascii="Calibri" w:hAnsi="Calibri"/>
          <w:sz w:val="22"/>
        </w:rPr>
        <w:t xml:space="preserve"> Enviar Lead Magnet 1 (Check-Up Anexo 30 SAT - 1 Página).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Si el contacto es Gerente de Operaciones / TI (CTO):</w:t>
      </w:r>
      <w:r>
        <w:rPr>
          <w:rFonts w:ascii="Calibri" w:hAnsi="Calibri"/>
          <w:sz w:val="22"/>
        </w:rPr>
        <w:t xml:space="preserve"> Enviar Ficha Técnica de Integración Nexgo ATEX + API Webhooks.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