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📄 RESUMEN EJECUTIVO: PLAN GTM Y FOCO A 90 DÍAS PAYMIND</w:t>
      </w:r>
    </w:p>
    <w:p>
      <w:pPr>
        <w:ind w:left="576"/>
      </w:pPr>
      <w:r>
        <w:rPr>
          <w:rFonts w:ascii="Calibri" w:hAnsi="Calibri"/>
          <w:i/>
          <w:color w:val="475569"/>
        </w:rPr>
        <w:t>**Para:** Dirección General de PayMind</w:t>
      </w:r>
    </w:p>
    <w:p>
      <w:pPr>
        <w:ind w:left="576"/>
      </w:pPr>
      <w:r>
        <w:rPr>
          <w:rFonts w:ascii="Calibri" w:hAnsi="Calibri"/>
          <w:i/>
          <w:color w:val="475569"/>
        </w:rPr>
        <w:t>**De:**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**Asunto:** Plan de Aceleración GTM Gasolineras (Integración Volumétrica y Medición del Caso ORSAN)</w:t>
      </w:r>
    </w:p>
    <w:p>
      <w:pPr>
        <w:ind w:left="576"/>
      </w:pPr>
      <w:r>
        <w:rPr>
          <w:rFonts w:ascii="Calibri" w:hAnsi="Calibri"/>
          <w:i/>
          <w:color w:val="475569"/>
        </w:rPr>
        <w:t>**Tiempo de Lectura:** 2 Minutos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⚡ 1. Arquitectura del Plan GTM y Foco Operativo</w:t>
      </w:r>
    </w:p>
    <w:p>
      <w:r>
        <w:rPr>
          <w:rFonts w:ascii="Calibri" w:hAnsi="Calibri"/>
          <w:sz w:val="22"/>
        </w:rPr>
        <w:t xml:space="preserve">El objetivo estratégico de PayMind en el sector gasolinero no es competir como un revendedor tradicional de terminales, sino consolidarse como la </w:t>
      </w:r>
      <w:r>
        <w:rPr>
          <w:rFonts w:ascii="Calibri" w:hAnsi="Calibri"/>
          <w:b/>
          <w:color w:val="0F172A"/>
        </w:rPr>
        <w:t>Capa de Interoperabilidad e Infraestructura de Cobro</w:t>
      </w:r>
      <w:r>
        <w:rPr>
          <w:rFonts w:ascii="Calibri" w:hAnsi="Calibri"/>
          <w:sz w:val="22"/>
        </w:rPr>
        <w:t xml:space="preserve"> conectada directamente al sistema de control volumétrico (SAT Anexo 30) y a la adquirencia multibanco (BBVA, BanBajío, Afirme) con depósitos al día siguiente (T+1).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              STACK DE INFRAESTRUCTURA DE PAGOS                        │</w:t>
      </w:r>
    </w:p>
    <w:p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alibri" w:hAnsi="Calibri"/>
          <w:sz w:val="22"/>
        </w:rPr>
        <w:t>│ 1. VOLUMÉTRICO ➔ ControlGAS (ATIO), eGas, NexusFuel, Gasomarshal Odoo        │</w:t>
      </w:r>
    </w:p>
    <w:p>
      <w:r>
        <w:rPr>
          <w:rFonts w:ascii="Calibri" w:hAnsi="Calibri"/>
          <w:sz w:val="22"/>
        </w:rPr>
        <w:t>│ 2. PAYMIND     ➔ Orquestación de Pagos Multi-Adquirente (T+1)                │</w:t>
      </w:r>
    </w:p>
    <w:p>
      <w:r>
        <w:rPr>
          <w:rFonts w:ascii="Calibri" w:hAnsi="Calibri"/>
          <w:sz w:val="22"/>
        </w:rPr>
        <w:t>│ 3. HARDWARE    ➔ SmartPOS Nexgo ATEX (Inalámbrico antichispas en isla)      │</w:t>
      </w:r>
    </w:p>
    <w:p>
      <w:r>
        <w:rPr>
          <w:rFonts w:ascii="Calibri" w:hAnsi="Calibri"/>
          <w:sz w:val="22"/>
        </w:rPr>
        <w:t>│ 4. OPERACIÓN   ➔ Conciliación Automática (Despacho - Pago - Factura)       │</w:t>
      </w:r>
    </w:p>
    <w:p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🎯 2. Ejecución Prioritaria a 90 Días</w:t>
      </w:r>
    </w:p>
    <w:p>
      <w:r>
        <w:rPr>
          <w:rFonts w:ascii="Calibri" w:hAnsi="Calibri"/>
          <w:sz w:val="22"/>
        </w:rPr>
        <w:t>Para garantizar tracción comercial inmediata y maximizar la eficiencia de recursos: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Mes 1 (Auditoría Interna de Producción):</w:t>
      </w:r>
      <w:r>
        <w:rPr>
          <w:rFonts w:ascii="Calibri" w:hAnsi="Calibri"/>
          <w:sz w:val="22"/>
        </w:rPr>
        <w:t xml:space="preserve"> Extraer las métricas operativas y transaccionales del caso vivo </w:t>
      </w:r>
      <w:r>
        <w:rPr>
          <w:rFonts w:ascii="Calibri" w:hAnsi="Calibri"/>
          <w:b/>
          <w:color w:val="0F172A"/>
        </w:rPr>
        <w:t>Grupo ORSAN (Mobil)</w:t>
      </w:r>
      <w:r>
        <w:rPr>
          <w:rFonts w:ascii="Calibri" w:hAnsi="Calibri"/>
          <w:sz w:val="22"/>
        </w:rPr>
        <w:t xml:space="preserve"> para disponer de evidencia empírica real de autorización, velocidad de despacho y tasa de adopción.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Mes 2 (Partnership Técnico de Distribución):</w:t>
      </w:r>
      <w:r>
        <w:rPr>
          <w:rFonts w:ascii="Calibri" w:hAnsi="Calibri"/>
          <w:sz w:val="22"/>
        </w:rPr>
        <w:t xml:space="preserve"> Cerrar acuerdo de integración certificada con un proveedor de software volumétrico enfocado en independientes (</w:t>
      </w:r>
      <w:r>
        <w:rPr>
          <w:rFonts w:ascii="Calibri" w:hAnsi="Calibri"/>
          <w:b/>
          <w:color w:val="0F172A"/>
        </w:rPr>
        <w:t>eGas o NexusFuel</w:t>
      </w:r>
      <w:r>
        <w:rPr>
          <w:rFonts w:ascii="Calibri" w:hAnsi="Calibri"/>
          <w:sz w:val="22"/>
        </w:rPr>
        <w:t>).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Mes 3 (Densidad en Clúster Regional):</w:t>
      </w:r>
      <w:r>
        <w:rPr>
          <w:rFonts w:ascii="Calibri" w:hAnsi="Calibri"/>
          <w:sz w:val="22"/>
        </w:rPr>
        <w:t xml:space="preserve"> Concentrar el esfuerzo comercial en el clúster geográfico de mayor densidad y acceso directo (</w:t>
      </w:r>
      <w:r>
        <w:rPr>
          <w:rFonts w:ascii="Calibri" w:hAnsi="Calibri"/>
          <w:b/>
          <w:color w:val="0F172A"/>
        </w:rPr>
        <w:t>Sureste / Península</w:t>
      </w:r>
      <w:r>
        <w:rPr>
          <w:rFonts w:ascii="Calibri" w:hAnsi="Calibri"/>
          <w:sz w:val="22"/>
        </w:rPr>
        <w:t>).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📊 3. Los 4 Activos de Prospección Listos para Despliegue</w:t>
      </w:r>
    </w:p>
    <w:p>
      <w:pPr>
        <w:pStyle w:val="ListBullet"/>
      </w:pPr>
      <w:r>
        <w:rPr>
          <w:rFonts w:ascii="Calibri" w:hAnsi="Calibri"/>
          <w:b/>
          <w:color w:val="0F172A"/>
        </w:rPr>
        <w:t>Base de Datos Segmentada (433 Gasolineras):</w:t>
      </w:r>
      <w:r>
        <w:rPr>
          <w:rFonts w:ascii="Calibri" w:hAnsi="Calibri"/>
          <w:sz w:val="22"/>
        </w:rPr>
        <w:t xml:space="preserve"> Clasificadas en Top Tier ABM, Mid Market e Independientes.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Secuencias de Prospección Socrática (Snov.io):</w:t>
      </w:r>
      <w:r>
        <w:rPr>
          <w:rFonts w:ascii="Calibri" w:hAnsi="Calibri"/>
          <w:sz w:val="22"/>
        </w:rPr>
        <w:t xml:space="preserve"> Mensajes directos de baja fricción enfocados en cobro al pie de bomba sin cambiar de banco adquirente.</w:t>
      </w:r>
    </w:p>
    <w:p>
      <w:pPr>
        <w:pStyle w:val="ListBullet"/>
      </w:pPr>
      <w:r>
        <w:rPr>
          <w:rFonts w:ascii="Calibri" w:hAnsi="Calibri"/>
          <w:b/>
          <w:color w:val="0F172A"/>
        </w:rPr>
        <w:t>Directorio ONEXPO (43 Asociaciones Estatales):</w:t>
      </w:r>
      <w:r>
        <w:rPr>
          <w:rFonts w:ascii="Calibri" w:hAnsi="Calibri"/>
          <w:sz w:val="22"/>
        </w:rPr>
        <w:t xml:space="preserve"> Mapeo de liderazgo gremial en los 32 estados.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Calculadora de Adquirencia Directa:</w:t>
      </w:r>
      <w:r>
        <w:rPr>
          <w:rFonts w:ascii="Calibri" w:hAnsi="Calibri"/>
          <w:sz w:val="22"/>
        </w:rPr>
        <w:t xml:space="preserve"> Herramienta interactiva para simular ahorros en tasa de descuento bancaria y flujo T+1.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💡 CONCLUSIÓN Y PRÓXIMOS PASOS</w:t>
      </w:r>
    </w:p>
    <w:p>
      <w:pPr>
        <w:ind w:left="576"/>
      </w:pPr>
      <w:r>
        <w:rPr>
          <w:rFonts w:ascii="Calibri" w:hAnsi="Calibri"/>
          <w:i/>
          <w:color w:val="475569"/>
        </w:rPr>
        <w:t>**"El camino de menor fricción y mayor tracción para PayMind consiste en validar la línea base operativa con los datos reales de Grupo ORSAN, amarrar la integración técnica con un volumétrico de independientes y dominar la densidad regional en 90 días con evidencia empírica indiscutible."**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