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rFonts w:ascii="Calibri" w:hAnsi="Calibri"/>
          <w:b/>
          <w:color w:val="0F172A"/>
          <w:sz w:val="36"/>
        </w:rPr>
        <w:t>🛡️ PLAN DE AJUSTES ANTI-HUMO Y DISTINCIÓN COMPLEJO VS. COMPLICADO</w:t>
      </w:r>
    </w:p>
    <w:p>
      <w:pPr>
        <w:ind w:left="576"/>
      </w:pPr>
      <w:r>
        <w:rPr>
          <w:rFonts w:ascii="Calibri" w:hAnsi="Calibri"/>
          <w:i/>
          <w:color w:val="475569"/>
        </w:rPr>
        <w:t>**Versión de Auditoría Operativa — 27 de agosto de 2026**</w:t>
      </w:r>
    </w:p>
    <w:p>
      <w:pPr>
        <w:ind w:left="576"/>
      </w:pPr>
      <w:r>
        <w:rPr>
          <w:rFonts w:ascii="Calibri" w:hAnsi="Calibri"/>
          <w:i/>
          <w:color w:val="475569"/>
        </w:rPr>
        <w:t>**Autor:** Antonio Gutiérrez | Consultor de Crecimiento &amp; Pagos</w:t>
      </w:r>
    </w:p>
    <w:p>
      <w:pPr>
        <w:ind w:left="576"/>
      </w:pPr>
      <w:r>
        <w:rPr>
          <w:rFonts w:ascii="Calibri" w:hAnsi="Calibri"/>
          <w:i/>
          <w:color w:val="475569"/>
        </w:rPr>
        <w:t>**Protocolo:** Zero-Assumption &amp; Complejidad B2B (CPS Framework)</w:t>
      </w:r>
    </w:p>
    <w:p>
      <w:r>
        <w:rPr>
          <w:rFonts w:ascii="Calibri" w:hAnsi="Calibri"/>
          <w:sz w:val="22"/>
        </w:rPr>
        <w:t>---</w:t>
      </w:r>
    </w:p>
    <w:p>
      <w:pPr>
        <w:spacing w:before="240" w:after="120"/>
      </w:pPr>
      <w:r>
        <w:rPr>
          <w:rFonts w:ascii="Calibri" w:hAnsi="Calibri"/>
          <w:b/>
          <w:color w:val="2563EB"/>
          <w:sz w:val="28"/>
        </w:rPr>
        <w:t>🧠 1. Marco Metodológico: Distinguir lo Complicado de lo Complejo</w:t>
      </w:r>
    </w:p>
    <w:p>
      <w:pPr>
        <w:pStyle w:val="ListBullet"/>
      </w:pPr>
      <w:r>
        <w:rPr>
          <w:rFonts w:ascii="Calibri" w:hAnsi="Calibri"/>
          <w:b/>
          <w:color w:val="0F172A"/>
        </w:rPr>
        <w:t>LO COMPLICADO (Problema Técnico Conocido):</w:t>
      </w:r>
    </w:p>
    <w:p>
      <w:r>
        <w:rPr>
          <w:rFonts w:ascii="Calibri" w:hAnsi="Calibri"/>
          <w:sz w:val="22"/>
        </w:rPr>
        <w:t>Conectar la terminal SmartPOS antichispas (PCI 6.x / ATEX) al dispensario y al sistema volumétrico, ruteando el cobro hacia el banco adquirente actual (BBVA, BanBajío) con depósitos T+1.</w:t>
      </w:r>
    </w:p>
    <w:p>
      <w:r>
        <w:rPr>
          <w:rFonts w:ascii="Calibri" w:hAnsi="Calibri"/>
          <w:sz w:val="22"/>
        </w:rPr>
        <w:t>*Tratamiento:* Se resuelve con ingeniería de software, APIs y certificación técnica.</w:t>
      </w:r>
    </w:p>
    <w:p>
      <w:pPr>
        <w:pStyle w:val="ListBullet"/>
      </w:pPr>
      <w:r>
        <w:rPr>
          <w:rFonts w:ascii="Calibri" w:hAnsi="Calibri"/>
          <w:b/>
          <w:color w:val="0F172A"/>
        </w:rPr>
        <w:t>LO COMPLEJO (Problema Emergente de Conducta y Adopción):</w:t>
      </w:r>
    </w:p>
    <w:p>
      <w:r>
        <w:rPr>
          <w:rFonts w:ascii="Calibri" w:hAnsi="Calibri"/>
          <w:sz w:val="22"/>
        </w:rPr>
        <w:t>La interacción real del conductor al pie del auto, el uso voluntario del kiosco vs. pago asistido, la dinámica del despachador en hora pico y la conciliación en turno nocturno.</w:t>
      </w:r>
    </w:p>
    <w:p>
      <w:r>
        <w:rPr>
          <w:rFonts w:ascii="Calibri" w:hAnsi="Calibri"/>
          <w:sz w:val="22"/>
        </w:rPr>
        <w:t xml:space="preserve">*Tratamiento:* NO se resuelve con promesas en un PDF ni proyecciones de Excel. Se resuelve </w:t>
      </w:r>
      <w:r>
        <w:rPr>
          <w:rFonts w:ascii="Calibri" w:hAnsi="Calibri"/>
          <w:b/>
          <w:color w:val="0F172A"/>
        </w:rPr>
        <w:t>midiendo datos reales en un piloto de 3 a 5 estaciones con línea base</w:t>
      </w:r>
      <w:r>
        <w:rPr>
          <w:rFonts w:ascii="Calibri" w:hAnsi="Calibri"/>
          <w:sz w:val="22"/>
        </w:rPr>
        <w:t>.</w:t>
      </w:r>
    </w:p>
    <w:p>
      <w:r>
        <w:rPr>
          <w:rFonts w:ascii="Calibri" w:hAnsi="Calibri"/>
          <w:sz w:val="22"/>
        </w:rPr>
        <w:t>---</w:t>
      </w:r>
    </w:p>
    <w:p>
      <w:pPr>
        <w:spacing w:before="240" w:after="120"/>
      </w:pPr>
      <w:r>
        <w:rPr>
          <w:rFonts w:ascii="Calibri" w:hAnsi="Calibri"/>
          <w:b/>
          <w:color w:val="2563EB"/>
          <w:sz w:val="28"/>
        </w:rPr>
        <w:t>🛠️ 2. Lista de Ajustes Concretos en los Materiales de PayMind</w:t>
      </w:r>
    </w:p>
    <w:p>
      <w:pPr>
        <w:pStyle w:val="ListBullet"/>
      </w:pPr>
      <w:r>
        <w:rPr>
          <w:rFonts w:ascii="Calibri" w:hAnsi="Calibri"/>
          <w:b/>
          <w:color w:val="0F172A"/>
        </w:rPr>
        <w:t>Lo que se elimina:</w:t>
      </w:r>
      <w:r>
        <w:rPr>
          <w:rFonts w:ascii="Calibri" w:hAnsi="Calibri"/>
          <w:sz w:val="22"/>
        </w:rPr>
        <w:t xml:space="preserve"> Proyecciones de ROI del 82%, cifras de $324,000-$486,000 MXN anuales asumidas y 90.8% de probabilidad matemática.</w:t>
      </w:r>
    </w:p>
    <w:p>
      <w:pPr>
        <w:spacing w:before="240" w:after="120"/>
      </w:pPr>
      <w:r>
        <w:rPr>
          <w:rFonts w:ascii="Calibri" w:hAnsi="Calibri"/>
          <w:b/>
          <w:color w:val="1E293B"/>
          <w:sz w:val="24"/>
        </w:rPr>
        <w:t>✉️ 2. Ajuste en las Secuencias de Correo (Snov.io)</w:t>
      </w:r>
    </w:p>
    <w:p>
      <w:pPr>
        <w:pStyle w:val="ListBullet"/>
      </w:pPr>
      <w:r>
        <w:rPr>
          <w:rFonts w:ascii="Calibri" w:hAnsi="Calibri"/>
          <w:b/>
          <w:color w:val="0F172A"/>
        </w:rPr>
        <w:t>Lo que se elimina:</w:t>
      </w:r>
      <w:r>
        <w:rPr>
          <w:rFonts w:ascii="Calibri" w:hAnsi="Calibri"/>
          <w:sz w:val="22"/>
        </w:rPr>
        <w:t xml:space="preserve"> "Reducción de errores de tecleo al 4.2%", "Aumento de atención en 30%" y frases cliché como "En empresas como la tuya".</w:t>
      </w:r>
    </w:p>
    <w:p>
      <w:pPr>
        <w:pStyle w:val="ListBullet"/>
      </w:pPr>
      <w:r>
        <w:rPr>
          <w:rFonts w:ascii="Calibri" w:hAnsi="Calibri"/>
          <w:b/>
          <w:color w:val="0F172A"/>
        </w:rPr>
        <w:t>Lo que se incluye:</w:t>
      </w:r>
      <w:r>
        <w:rPr>
          <w:rFonts w:ascii="Calibri" w:hAnsi="Calibri"/>
          <w:sz w:val="22"/>
        </w:rPr>
        <w:t xml:space="preserve"> Texto socrático transparente sin asunciones:</w:t>
      </w:r>
    </w:p>
    <w:p>
      <w:r>
        <w:rPr>
          <w:rFonts w:ascii="Calibri" w:hAnsi="Calibri"/>
          <w:sz w:val="22"/>
        </w:rPr>
        <w:t>*“Ofrecemos conectar el cobro inalámbrico en bomba a su banco actual (BBVA, BanBajío) con depósitos T+1. ¿Están abiertos a platicar 5 minutos para evaluar si esto agiliza su cobranza al pie del auto?”*</w:t>
      </w:r>
    </w:p>
    <w:p>
      <w:pPr>
        <w:spacing w:before="240" w:after="120"/>
      </w:pPr>
      <w:r>
        <w:rPr>
          <w:rFonts w:ascii="Calibri" w:hAnsi="Calibri"/>
          <w:b/>
          <w:color w:val="1E293B"/>
          <w:sz w:val="24"/>
        </w:rPr>
        <w:t>💻 3. Ajuste en la Calculadora Web (`paymind-growth-engine.pages.dev`)</w:t>
      </w:r>
    </w:p>
    <w:p>
      <w:pPr>
        <w:pStyle w:val="ListBullet"/>
      </w:pPr>
      <w:r>
        <w:rPr>
          <w:rFonts w:ascii="Calibri" w:hAnsi="Calibri"/>
          <w:b/>
          <w:color w:val="0F172A"/>
        </w:rPr>
        <w:t>Lo que se elimina:</w:t>
      </w:r>
      <w:r>
        <w:rPr>
          <w:rFonts w:ascii="Calibri" w:hAnsi="Calibri"/>
          <w:sz w:val="22"/>
        </w:rPr>
        <w:t xml:space="preserve"> Métricas hipotéticas de "Retail Media Ads" e "Ingresos por Publicidad".</w:t>
      </w:r>
    </w:p>
    <w:p>
      <w:pPr>
        <w:pStyle w:val="ListBullet"/>
      </w:pPr>
      <w:r>
        <w:rPr>
          <w:rFonts w:ascii="Calibri" w:hAnsi="Calibri"/>
          <w:b/>
          <w:color w:val="0F172A"/>
        </w:rPr>
        <w:t>Lo que se incluye:</w:t>
      </w:r>
      <w:r>
        <w:rPr>
          <w:rFonts w:ascii="Calibri" w:hAnsi="Calibri"/>
          <w:sz w:val="22"/>
        </w:rPr>
        <w:t xml:space="preserve"> Calculadora limpia de </w:t>
      </w:r>
      <w:r>
        <w:rPr>
          <w:rFonts w:ascii="Calibri" w:hAnsi="Calibri"/>
          <w:b/>
          <w:color w:val="0F172A"/>
        </w:rPr>
        <w:t>Ahorro en Tasa de Adquirencia Directa y Conciliación T+1</w:t>
      </w:r>
      <w:r>
        <w:rPr>
          <w:rFonts w:ascii="Calibri" w:hAnsi="Calibri"/>
          <w:sz w:val="22"/>
        </w:rPr>
        <w:t xml:space="preserve"> basada en el volumen transaccionado introducido por la gasolinera.</w:t>
      </w:r>
    </w:p>
    <w:p>
      <w:pPr>
        <w:spacing w:before="240" w:after="120"/>
      </w:pPr>
      <w:r>
        <w:rPr>
          <w:rFonts w:ascii="Calibri" w:hAnsi="Calibri"/>
          <w:b/>
          <w:color w:val="1E293B"/>
          <w:sz w:val="24"/>
        </w:rPr>
        <w:t>🤝 4. Ajuste en la Estrategia de Alianzas (Partnerships)</w:t>
      </w:r>
    </w:p>
    <w:p>
      <w:pPr>
        <w:pStyle w:val="ListBullet"/>
      </w:pPr>
      <w:r>
        <w:rPr>
          <w:rFonts w:ascii="Calibri" w:hAnsi="Calibri"/>
          <w:b/>
          <w:color w:val="0F172A"/>
        </w:rPr>
        <w:t>Lo que se elimina:</w:t>
      </w:r>
      <w:r>
        <w:rPr>
          <w:rFonts w:ascii="Calibri" w:hAnsi="Calibri"/>
          <w:sz w:val="22"/>
        </w:rPr>
        <w:t xml:space="preserve"> Cifras de "Revenue Share del 5-10%" y planes de atacar 4 frentes simultáneos.</w:t>
      </w:r>
    </w:p>
    <w:p>
      <w:pPr>
        <w:pStyle w:val="ListBullet"/>
      </w:pPr>
      <w:r>
        <w:rPr>
          <w:rFonts w:ascii="Calibri" w:hAnsi="Calibri"/>
          <w:b/>
          <w:color w:val="0F172A"/>
        </w:rPr>
        <w:t>Lo que se incluye:</w:t>
      </w:r>
      <w:r>
        <w:rPr>
          <w:rFonts w:ascii="Calibri" w:hAnsi="Calibri"/>
          <w:sz w:val="22"/>
        </w:rPr>
        <w:t xml:space="preserve"> Modelo de </w:t>
      </w:r>
      <w:r>
        <w:rPr>
          <w:rFonts w:ascii="Calibri" w:hAnsi="Calibri"/>
          <w:b/>
          <w:color w:val="0F172A"/>
        </w:rPr>
        <w:t>Integración Certificada con Volumétricos Independientes (eGas, NexusFuel)</w:t>
      </w:r>
      <w:r>
        <w:rPr>
          <w:rFonts w:ascii="Calibri" w:hAnsi="Calibri"/>
          <w:sz w:val="22"/>
        </w:rPr>
        <w:t xml:space="preserve"> + </w:t>
      </w:r>
      <w:r>
        <w:rPr>
          <w:rFonts w:ascii="Calibri" w:hAnsi="Calibri"/>
          <w:b/>
          <w:color w:val="0F172A"/>
        </w:rPr>
        <w:t>Alianza de Despliegue Local con Integradores</w:t>
      </w:r>
      <w:r>
        <w:rPr>
          <w:rFonts w:ascii="Calibri" w:hAnsi="Calibri"/>
          <w:sz w:val="22"/>
        </w:rPr>
        <w:t>.</w:t>
      </w:r>
    </w:p>
    <w:p>
      <w:pPr>
        <w:spacing w:before="240" w:after="120"/>
      </w:pPr>
      <w:r>
        <w:rPr>
          <w:rFonts w:ascii="Calibri" w:hAnsi="Calibri"/>
          <w:b/>
          <w:color w:val="1E293B"/>
          <w:sz w:val="24"/>
        </w:rPr>
        <w:t>🎯 5. Ajuste en la Propuesta al CEO de PayMind</w:t>
      </w:r>
    </w:p>
    <w:p>
      <w:pPr>
        <w:pStyle w:val="ListBullet"/>
      </w:pPr>
      <w:r>
        <w:rPr>
          <w:rFonts w:ascii="Calibri" w:hAnsi="Calibri"/>
          <w:b/>
          <w:color w:val="0F172A"/>
        </w:rPr>
        <w:t>Lo que se elimina:</w:t>
      </w:r>
      <w:r>
        <w:rPr>
          <w:rFonts w:ascii="Calibri" w:hAnsi="Calibri"/>
          <w:sz w:val="22"/>
        </w:rPr>
        <w:t xml:space="preserve"> "Vamos a conquistar 500 gasolineras en 12 meses con un ecosistema completo."</w:t>
      </w:r>
    </w:p>
    <w:p>
      <w:pPr>
        <w:pStyle w:val="ListBullet"/>
      </w:pPr>
      <w:r>
        <w:rPr>
          <w:rFonts w:ascii="Calibri" w:hAnsi="Calibri"/>
          <w:b/>
          <w:color w:val="0F172A"/>
        </w:rPr>
        <w:t>Lo que se incluye:</w:t>
      </w:r>
      <w:r>
        <w:rPr>
          <w:rFonts w:ascii="Calibri" w:hAnsi="Calibri"/>
          <w:sz w:val="22"/>
        </w:rPr>
        <w:t xml:space="preserve"> </w:t>
      </w:r>
      <w:r>
        <w:rPr>
          <w:rFonts w:ascii="Calibri" w:hAnsi="Calibri"/>
          <w:b/>
          <w:color w:val="0F172A"/>
        </w:rPr>
        <w:t>Plan de Foco de 90 Días:</w:t>
      </w:r>
      <w:r>
        <w:rPr>
          <w:rFonts w:ascii="Calibri" w:hAnsi="Calibri"/>
          <w:sz w:val="22"/>
        </w:rPr>
        <w:t xml:space="preserve"> Auditar ORSAN en 30 días ➔ Cerrar 1 volumétrico regional en 60 días ➔ Dominar el clúster Sureste/Península en 90 días.</w:t>
      </w:r>
    </w:p>
    <w:p>
      <w:r>
        <w:rPr>
          <w:rFonts w:ascii="Calibri" w:hAnsi="Calibri"/>
          <w:sz w:val="22"/>
        </w:rPr>
        <w:t>---</w:t>
      </w:r>
    </w:p>
    <w:p>
      <w:pPr>
        <w:spacing w:before="240" w:after="120"/>
      </w:pPr>
      <w:r>
        <w:rPr>
          <w:rFonts w:ascii="Calibri" w:hAnsi="Calibri"/>
          <w:b/>
          <w:color w:val="2563EB"/>
          <w:sz w:val="28"/>
        </w:rPr>
        <w:t>📋 3. Matriz Resumen de Cambios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F172A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Componente</w:t>
            </w:r>
          </w:p>
        </w:tc>
        <w:tc>
          <w:tcPr>
            <w:tcW w:type="dxa" w:w="3312"/>
            <w:shd w:fill="0F172A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Versión Especulativa (Vieja)</w:t>
            </w:r>
          </w:p>
        </w:tc>
        <w:tc>
          <w:tcPr>
            <w:tcW w:type="dxa" w:w="3312"/>
            <w:shd w:fill="0F172A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Versión Anti-Humo Zero-Assumption (Nueva)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/>
                <w:color w:val="0F172A"/>
              </w:rPr>
              <w:t>Pitch Comercial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2"/>
              </w:rPr>
              <w:t>"Aumenta 30% tu throughput y gana dinero con Ads"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2"/>
              </w:rPr>
              <w:t>"Conecta cobro en bomba manteniendo tu banco y concilia T+1"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/>
                <w:color w:val="0F172A"/>
              </w:rPr>
              <w:t>Cuña de Entrada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2"/>
              </w:rPr>
              <w:t>Kioskos + Retail Media + Lealtad + Anticipos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2"/>
              </w:rPr>
              <w:t>Cumplimiento Volumétrico + Cobro en Isla T+1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/>
                <w:color w:val="0F172A"/>
              </w:rPr>
              <w:t>Prueba de Valor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2"/>
              </w:rPr>
              <w:t>Benchmarks de China (Sinopec) y Brasil (Vibra)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2"/>
              </w:rPr>
              <w:t>Datos auditados del caso vivo Grupo ORSAN (Mobil)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/>
                <w:color w:val="0F172A"/>
              </w:rPr>
              <w:t>Metas de Ventas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2"/>
              </w:rPr>
              <w:t>500 estaciones en 12 meses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2"/>
              </w:rPr>
              <w:t>3-5 estaciones en piloto ➔ 25 en Mes 9 ➔ 75 en Mes 12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