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color w:val="0F172A"/>
          <w:sz w:val="36"/>
        </w:rPr>
        <w:t>💼 Caso de Negocio &amp; Propuesta Ejecutiva para la Dirección de PayMind</w:t>
      </w:r>
    </w:p>
    <w:p>
      <w:pPr>
        <w:ind w:left="576"/>
      </w:pPr>
      <w:r>
        <w:rPr>
          <w:rFonts w:ascii="Calibri" w:hAnsi="Calibri"/>
          <w:i/>
          <w:color w:val="475569"/>
        </w:rPr>
        <w:t>**Preparado por:** Antonio Gutiérrez | Consultor de Crecimiento &amp; Pagos</w:t>
      </w:r>
    </w:p>
    <w:p>
      <w:pPr>
        <w:ind w:left="576"/>
      </w:pPr>
      <w:r>
        <w:rPr>
          <w:rFonts w:ascii="Calibri" w:hAnsi="Calibri"/>
          <w:i/>
          <w:color w:val="475569"/>
        </w:rPr>
        <w:t>**Fecha:** 27 de Agosto, 2026</w:t>
      </w:r>
    </w:p>
    <w:p>
      <w:r>
        <w:rPr>
          <w:rFonts w:ascii="Calibri" w:hAnsi="Calibri"/>
          <w:sz w:val="22"/>
        </w:rPr>
        <w:t>---</w:t>
      </w:r>
    </w:p>
    <w:p>
      <w:pPr>
        <w:pStyle w:val="ListBullet"/>
      </w:pPr>
      <w:r>
        <w:rPr>
          <w:rFonts w:ascii="Calibri" w:hAnsi="Calibri"/>
          <w:b/>
          <w:color w:val="0F172A"/>
        </w:rPr>
        <w:t>Tarifa Mensual: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color w:val="0F172A"/>
        </w:rPr>
        <w:t>`$30,000 MXN / mes`</w:t>
      </w:r>
      <w:r>
        <w:rPr>
          <w:rFonts w:ascii="Calibri" w:hAnsi="Calibri"/>
          <w:sz w:val="22"/>
        </w:rPr>
        <w:t xml:space="preserve"> (Bajo el esquema "Dirección por Área").</w:t>
      </w:r>
    </w:p>
    <w:p>
      <w:pPr>
        <w:pStyle w:val="ListBullet"/>
      </w:pPr>
      <w:r>
        <w:rPr>
          <w:rFonts w:ascii="Calibri" w:hAnsi="Calibri"/>
          <w:b/>
          <w:color w:val="0F172A"/>
        </w:rPr>
        <w:t>Tiempo de Espera para Resultados ("Empezar a ver algo"):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color w:val="0F172A"/>
        </w:rPr>
        <w:t>`4 Meses`</w:t>
      </w:r>
      <w:r>
        <w:rPr>
          <w:rFonts w:ascii="Calibri" w:hAnsi="Calibri"/>
          <w:sz w:val="22"/>
        </w:rPr>
        <w:t xml:space="preserve"> *(Argumentando que deben "construir todo desde cero")*.</w:t>
      </w:r>
    </w:p>
    <w:p>
      <w:pPr>
        <w:pStyle w:val="ListBullet"/>
      </w:pPr>
      <w:r>
        <w:rPr>
          <w:rFonts w:ascii="Calibri" w:hAnsi="Calibri"/>
          <w:b/>
          <w:color w:val="0F172A"/>
        </w:rPr>
        <w:t>Especialización Sectorial: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color w:val="0F172A"/>
        </w:rPr>
        <w:t>Cero experiencia demostrada</w:t>
      </w:r>
      <w:r>
        <w:rPr>
          <w:rFonts w:ascii="Calibri" w:hAnsi="Calibri"/>
          <w:sz w:val="22"/>
        </w:rPr>
        <w:t xml:space="preserve"> en medios de pago, adquirencia bancaria o regulación de petrolíferos (Anexo 30 SAT / CNE).</w:t>
      </w:r>
    </w:p>
    <w:p>
      <w:pPr>
        <w:pStyle w:val="ListBullet"/>
      </w:pPr>
      <w:r>
        <w:rPr>
          <w:rFonts w:ascii="Calibri" w:hAnsi="Calibri"/>
          <w:b/>
          <w:color w:val="0F172A"/>
        </w:rPr>
        <w:t>Entregables Ofrecidos:</w:t>
      </w:r>
      <w:r>
        <w:rPr>
          <w:rFonts w:ascii="Calibri" w:hAnsi="Calibri"/>
          <w:sz w:val="22"/>
        </w:rPr>
        <w:t xml:space="preserve"> Materiales genéricos de autogestión, parrillas de redes sociales generalistas y plantillas estándar en herramientas como Zoho.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2. ⚡ La Alternativa Ejecutable: PayMind Growth Engine (En Vivo en 24 Horas)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</w:rPr>
              <w:t>Tiempo de Inicio</w:t>
            </w:r>
          </w:p>
        </w:tc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4 Meses de preparación ("Construir desde 0")</w:t>
            </w:r>
          </w:p>
        </w:tc>
        <w:tc>
          <w:tcPr>
            <w:tcW w:type="dxa" w:w="3312"/>
            <w:shd w:fill="0F172A"/>
          </w:tcPr>
          <w:p>
            <w:r>
              <w:rPr>
                <w:rFonts w:ascii="Calibri" w:hAnsi="Calibri"/>
                <w:b/>
                <w:color w:val="FFFFFF"/>
              </w:rPr>
              <w:t>Inmediato (0 días)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Costo Operativo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$120,000 MXN en los primeros 4 meses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~$1,000 MXN/mes</w:t>
            </w:r>
            <w:r>
              <w:rPr>
                <w:rFonts w:ascii="Calibri" w:hAnsi="Calibri"/>
                <w:sz w:val="22"/>
              </w:rPr>
              <w:t xml:space="preserve"> ($50 USD Snov.io)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Base de Datos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Sin prospects (Tendrían que salir a buscar)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433 Estaciones Cualificadas y Limpias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Especialización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Genérica (Marketing para cualquier PYME)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Física &amp; Operativa Real:</w:t>
            </w:r>
            <w:r>
              <w:rPr>
                <w:rFonts w:ascii="Calibri" w:hAnsi="Calibri"/>
                <w:sz w:val="22"/>
              </w:rPr>
              <w:t xml:space="preserve"> El "baile de terminales", cierres de turno a las 2 PM y vales T+1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Herramientas de Conversión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2"/>
              </w:rPr>
              <w:t>Landing page en borrador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/>
                <w:color w:val="0F172A"/>
              </w:rPr>
              <w:t>Calculadora Financiera Web en Vivo</w:t>
            </w:r>
            <w:r>
              <w:rPr>
                <w:rFonts w:ascii="Calibri" w:hAnsi="Calibri"/>
                <w:sz w:val="22"/>
              </w:rPr>
              <w:t xml:space="preserve"> ([</w:t>
            </w:r>
            <w:r>
              <w:rPr>
                <w:rFonts w:ascii="Consolas" w:hAnsi="Consolas"/>
                <w:color w:val="E11D48"/>
                <w:sz w:val="19"/>
              </w:rPr>
              <w:t>paymind-growth-engine.pages.dev</w:t>
            </w:r>
            <w:r>
              <w:rPr>
                <w:rFonts w:ascii="Calibri" w:hAnsi="Calibri"/>
                <w:sz w:val="22"/>
              </w:rPr>
              <w:t>](https://paymind-growth-engine.pages.dev/))</w:t>
            </w:r>
          </w:p>
        </w:tc>
      </w:tr>
    </w:tbl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3. 🎯 Los 4 Activos Listos para Desplegar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A. Secuencia Socrática de Outbound Directo (4 Pasos)</w:t>
      </w:r>
    </w:p>
    <w:p>
      <w:pPr>
        <w:pStyle w:val="ListBullet"/>
      </w:pPr>
      <w:r>
        <w:rPr>
          <w:rFonts w:ascii="Calibri" w:hAnsi="Calibri"/>
          <w:b/>
          <w:color w:val="0F172A"/>
        </w:rPr>
        <w:t>Paso 1 (Día 1):</w:t>
      </w:r>
      <w:r>
        <w:rPr>
          <w:rFonts w:ascii="Calibri" w:hAnsi="Calibri"/>
          <w:sz w:val="22"/>
        </w:rPr>
        <w:t xml:space="preserve"> Agilizar cobro en bomba sin pedir al grupo que cambie su sistema actual de control ni su banco adquirente.</w:t>
      </w:r>
    </w:p>
    <w:p>
      <w:pPr>
        <w:pStyle w:val="ListBullet"/>
      </w:pPr>
      <w:r>
        <w:rPr>
          <w:rFonts w:ascii="Calibri" w:hAnsi="Calibri"/>
          <w:b/>
          <w:color w:val="0F172A"/>
        </w:rPr>
        <w:t>Paso 2 (Día 4):</w:t>
      </w:r>
      <w:r>
        <w:rPr>
          <w:rFonts w:ascii="Calibri" w:hAnsi="Calibri"/>
          <w:sz w:val="22"/>
        </w:rPr>
        <w:t xml:space="preserve"> Resolver el "baile de las terminales" entre despachadores y eliminar errores de dedo ante el SAT.</w:t>
      </w:r>
    </w:p>
    <w:p>
      <w:pPr>
        <w:pStyle w:val="ListBullet"/>
      </w:pPr>
      <w:r>
        <w:rPr>
          <w:rFonts w:ascii="Calibri" w:hAnsi="Calibri"/>
          <w:b/>
          <w:color w:val="0F172A"/>
        </w:rPr>
        <w:t>Paso 3 (Día 8):</w:t>
      </w:r>
      <w:r>
        <w:rPr>
          <w:rFonts w:ascii="Calibri" w:hAnsi="Calibri"/>
          <w:sz w:val="22"/>
        </w:rPr>
        <w:t xml:space="preserve"> Cierres de turno digitales en 2 minutos a las 2:00 PM sin frenar la atención a hora pico + vales T+1.</w:t>
      </w:r>
    </w:p>
    <w:p>
      <w:pPr>
        <w:pStyle w:val="ListBullet"/>
      </w:pPr>
      <w:r>
        <w:rPr>
          <w:rFonts w:ascii="Calibri" w:hAnsi="Calibri"/>
          <w:b/>
          <w:color w:val="0F172A"/>
        </w:rPr>
        <w:t>Paso 4 (Día 12):</w:t>
      </w:r>
      <w:r>
        <w:rPr>
          <w:rFonts w:ascii="Calibri" w:hAnsi="Calibri"/>
          <w:sz w:val="22"/>
        </w:rPr>
        <w:t xml:space="preserve"> Enlace directo a la Calculadora Financiera de Gasolineras.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B. Lead Magnets Listos para Entregar (PDFs Ejecutivos de 2 Páginas)</w:t>
      </w:r>
    </w:p>
    <w:p>
      <w:r>
        <w:rPr>
          <w:rFonts w:ascii="Calibri" w:hAnsi="Calibri"/>
          <w:sz w:val="22"/>
        </w:rPr>
        <w:t>1. *"Guía de Integración Ligera: Cómo conectar cobro en bomba a tu control volumétrico actual sin cambiar de proveedor"*.</w:t>
      </w:r>
    </w:p>
    <w:p>
      <w:r>
        <w:rPr>
          <w:rFonts w:ascii="Calibri" w:hAnsi="Calibri"/>
          <w:sz w:val="22"/>
        </w:rPr>
        <w:t>2. *"Checklist de Cierre de Turno: Unificación de reportes de Edenred, Sodexo y tarjetas en 1 sola terminal con dinero T+1"*.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C. Calculadora Financiera Web Interactiva</w:t>
      </w:r>
    </w:p>
    <w:p>
      <w:pPr>
        <w:pStyle w:val="ListBullet"/>
      </w:pPr>
      <w:r>
        <w:rPr>
          <w:rFonts w:ascii="Calibri" w:hAnsi="Calibri"/>
          <w:sz w:val="22"/>
        </w:rPr>
        <w:t>Herramienta visual en vivo donde el dueño o contador ingresa su número de estaciones y volumen mensual, desglosando la carga del IEPS/IVA y el ahorro neto en comisiones.</w:t>
      </w:r>
    </w:p>
    <w:p>
      <w:pPr>
        <w:spacing w:before="240" w:after="120"/>
      </w:pPr>
      <w:r>
        <w:rPr>
          <w:rFonts w:ascii="Calibri" w:hAnsi="Calibri"/>
          <w:b/>
          <w:color w:val="1E293B"/>
          <w:sz w:val="24"/>
        </w:rPr>
        <w:t>D. Validación de Mercado &amp; Certificaciones de Hardware</w:t>
      </w:r>
    </w:p>
    <w:p>
      <w:pPr>
        <w:pStyle w:val="ListBullet"/>
      </w:pPr>
      <w:r>
        <w:rPr>
          <w:rFonts w:ascii="Calibri" w:hAnsi="Calibri"/>
          <w:b/>
          <w:color w:val="0F172A"/>
        </w:rPr>
        <w:t>Caso de Éxito Validador:</w:t>
      </w:r>
      <w:r>
        <w:rPr>
          <w:rFonts w:ascii="Calibri" w:hAnsi="Calibri"/>
          <w:sz w:val="22"/>
        </w:rPr>
        <w:t xml:space="preserve"> Referencia directa de procesar transacciones para </w:t>
      </w:r>
      <w:r>
        <w:rPr>
          <w:rFonts w:ascii="Calibri" w:hAnsi="Calibri"/>
          <w:b/>
          <w:color w:val="0F172A"/>
        </w:rPr>
        <w:t>Grupo ORSAN (Mobil)</w:t>
      </w:r>
      <w:r>
        <w:rPr>
          <w:rFonts w:ascii="Calibri" w:hAnsi="Calibri"/>
          <w:sz w:val="22"/>
        </w:rPr>
        <w:t>, eliminando dudas de escala ante grupos medianos.</w:t>
      </w:r>
    </w:p>
    <w:p>
      <w:pPr>
        <w:pStyle w:val="ListBullet"/>
      </w:pPr>
      <w:r>
        <w:rPr>
          <w:rFonts w:ascii="Calibri" w:hAnsi="Calibri"/>
          <w:b/>
          <w:color w:val="0F172A"/>
        </w:rPr>
        <w:t>Certificación ATEX Antichispas + PCI 6.x:</w:t>
      </w:r>
      <w:r>
        <w:rPr>
          <w:rFonts w:ascii="Calibri" w:hAnsi="Calibri"/>
          <w:sz w:val="22"/>
        </w:rPr>
        <w:t xml:space="preserve"> Terminales </w:t>
      </w:r>
      <w:r>
        <w:rPr>
          <w:rFonts w:ascii="Calibri" w:hAnsi="Calibri"/>
          <w:b/>
          <w:color w:val="0F172A"/>
        </w:rPr>
        <w:t>Nexgo SmartPOS</w:t>
      </w:r>
      <w:r>
        <w:rPr>
          <w:rFonts w:ascii="Calibri" w:hAnsi="Calibri"/>
          <w:sz w:val="22"/>
        </w:rPr>
        <w:t xml:space="preserve"> totalmente preparadas para operar de forma segura en la isla de carga.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4. 📈 Retorno Financiero Estimado para el CEO</w:t>
      </w:r>
    </w:p>
    <w:p>
      <w:pPr>
        <w:pStyle w:val="ListBullet"/>
      </w:pPr>
      <w:r>
        <w:rPr>
          <w:rFonts w:ascii="Calibri" w:hAnsi="Calibri"/>
          <w:b/>
          <w:color w:val="0F172A"/>
        </w:rPr>
        <w:t>Proyección de Conversión Probabilística sobre 433 Gasolineras:</w:t>
      </w:r>
    </w:p>
    <w:p>
      <w:pPr>
        <w:pStyle w:val="ListBullet"/>
      </w:pPr>
      <w:r>
        <w:rPr>
          <w:rFonts w:ascii="Calibri" w:hAnsi="Calibri"/>
          <w:b/>
          <w:color w:val="0F172A"/>
        </w:rPr>
        <w:t>Probabilidad de Cierre $\ge 1$ Grupo Gasolinero: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color w:val="0F172A"/>
        </w:rPr>
        <w:t>`90.8%`</w:t>
      </w:r>
    </w:p>
    <w:p>
      <w:pPr>
        <w:pStyle w:val="ListBullet"/>
      </w:pPr>
      <w:r>
        <w:rPr>
          <w:rFonts w:ascii="Calibri" w:hAnsi="Calibri"/>
          <w:b/>
          <w:color w:val="0F172A"/>
        </w:rPr>
        <w:t>Resultado Esperado (Caso Base):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color w:val="0F172A"/>
        </w:rPr>
        <w:t>2 a 3 Grupos Cerrados</w:t>
      </w:r>
      <w:r>
        <w:rPr>
          <w:rFonts w:ascii="Calibri" w:hAnsi="Calibri"/>
          <w:sz w:val="22"/>
        </w:rPr>
        <w:t xml:space="preserve"> (6 a 9 Estaciones de Servicio incorporadas).</w:t>
      </w:r>
    </w:p>
    <w:p>
      <w:pPr>
        <w:pStyle w:val="ListBullet"/>
      </w:pPr>
      <w:r>
        <w:rPr>
          <w:rFonts w:ascii="Calibri" w:hAnsi="Calibri"/>
          <w:b/>
          <w:color w:val="0F172A"/>
        </w:rPr>
        <w:t>Ingreso Recurrente Anual Estimado para PayMind:</w:t>
      </w:r>
      <w:r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color w:val="0F172A"/>
        </w:rPr>
        <w:t>`$324,000 a $486,000 MXN`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>---</w:t>
      </w:r>
    </w:p>
    <w:p>
      <w:pPr>
        <w:spacing w:before="240" w:after="120"/>
      </w:pPr>
      <w:r>
        <w:rPr>
          <w:rFonts w:ascii="Calibri" w:hAnsi="Calibri"/>
          <w:b/>
          <w:color w:val="2563EB"/>
          <w:sz w:val="28"/>
        </w:rPr>
        <w:t>💡 Recomendación Inmediata</w:t>
      </w:r>
    </w:p>
    <w:p>
      <w:r>
        <w:rPr>
          <w:rFonts w:ascii="Calibri" w:hAnsi="Calibri"/>
          <w:sz w:val="22"/>
        </w:rPr>
        <w:t>Ejecutar la prospección directa utilizando la infraestructura in-house desarrollada y reasignar el presupuesto de pauta ($10,000 - $15,000 MXN/mes) a generación directa de demanda en Facebook/LinkedIn dirigida únicamente a tomadores de decisiones cualificados.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