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🗺️ Roadmap Comercial In-House &amp; Justificación Económica PayMind</w:t>
      </w:r>
    </w:p>
    <w:p>
      <w:pPr>
        <w:ind w:left="576"/>
      </w:pPr>
      <w:r>
        <w:rPr>
          <w:rFonts w:ascii="Calibri" w:hAnsi="Calibri"/>
          <w:i/>
          <w:color w:val="475569"/>
        </w:rPr>
        <w:t>**Preparado por:** Antonio Gutiérrez | Consultor de Crecimiento &amp; Pagos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1. 🚀 Roadmap Comercial In-House (30 Días)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SEMANA 1 (Días 1-7)        SEMANA 2 (Días 8-15)       SEMANAS 3 Y 4 (Días 16-30)</w:t>
      </w:r>
    </w:p>
    <w:p>
      <w:r>
        <w:rPr>
          <w:rFonts w:ascii="Calibri" w:hAnsi="Calibri"/>
          <w:sz w:val="22"/>
        </w:rPr>
        <w:t>Prospección Outbound  ──►  Co-Selling &amp; Alianzas   ──►  Atracción Digital Pauta</w:t>
      </w:r>
    </w:p>
    <w:p>
      <w:r>
        <w:rPr>
          <w:rFonts w:ascii="Calibri" w:hAnsi="Calibri"/>
          <w:sz w:val="22"/>
        </w:rPr>
        <w:t>(433 Gasolineras)          (ControlGAS / ATIO)        (Meta/LinkedIn $10k/mes)</w:t>
      </w:r>
    </w:p>
    <w:p>
      <w:r>
        <w:rPr>
          <w:rFonts w:ascii="Calibri" w:hAnsi="Calibri"/>
          <w:sz w:val="22"/>
        </w:rPr>
        <w:t>Resultados: 3-6 Demos      Resultados: 1 Alianza      Resultados: 10 Leads Qual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📍 Fase 1: Prospección Directa Outbound (Días 1 a 7)</w:t>
      </w:r>
    </w:p>
    <w:p>
      <w:pPr>
        <w:pStyle w:val="ListBullet"/>
      </w:pPr>
      <w:r>
        <w:rPr>
          <w:rFonts w:ascii="Calibri" w:hAnsi="Calibri"/>
          <w:b/>
          <w:color w:val="0F172A"/>
        </w:rPr>
        <w:t>Acción:</w:t>
      </w:r>
      <w:r>
        <w:rPr>
          <w:rFonts w:ascii="Calibri" w:hAnsi="Calibri"/>
          <w:sz w:val="22"/>
        </w:rPr>
        <w:t xml:space="preserve"> Subir </w:t>
      </w:r>
      <w:r>
        <w:rPr>
          <w:rFonts w:ascii="Consolas" w:hAnsi="Consolas"/>
          <w:color w:val="E11D48"/>
          <w:sz w:val="19"/>
        </w:rPr>
        <w:t>Snovio_Gasolineras_Lanzamiento.csv</w:t>
      </w:r>
      <w:r>
        <w:rPr>
          <w:rFonts w:ascii="Calibri" w:hAnsi="Calibri"/>
          <w:sz w:val="22"/>
        </w:rPr>
        <w:t xml:space="preserve"> (433 estaciones) a Snov.io y lanzar la secuencia socrática de 4 pasos.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Foco:</w:t>
      </w:r>
      <w:r>
        <w:rPr>
          <w:rFonts w:ascii="Calibri" w:hAnsi="Calibri"/>
          <w:sz w:val="22"/>
        </w:rPr>
        <w:t xml:space="preserve"> Dolores reales en bomba (el préstamo de terminales, el coche que se va a las 2:00 PM y vales T+1).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Entregable Esperado: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3 a 6 Demos agendadas</w:t>
      </w:r>
      <w:r>
        <w:rPr>
          <w:rFonts w:ascii="Calibri" w:hAnsi="Calibri"/>
          <w:sz w:val="22"/>
        </w:rPr>
        <w:t xml:space="preserve"> directamente con dueños y administradores.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📍 Fase 2: Alianzas con Software Volumétrico &amp; Telemetría (Días 8 a 15)</w:t>
      </w:r>
    </w:p>
    <w:p>
      <w:pPr>
        <w:pStyle w:val="ListBullet"/>
      </w:pPr>
      <w:r>
        <w:rPr>
          <w:rFonts w:ascii="Calibri" w:hAnsi="Calibri"/>
          <w:b/>
          <w:color w:val="0F172A"/>
        </w:rPr>
        <w:t>Acción:</w:t>
      </w:r>
      <w:r>
        <w:rPr>
          <w:rFonts w:ascii="Calibri" w:hAnsi="Calibri"/>
          <w:sz w:val="22"/>
        </w:rPr>
        <w:t xml:space="preserve"> Mapear a distribuidores regionales de </w:t>
      </w:r>
      <w:r>
        <w:rPr>
          <w:rFonts w:ascii="Calibri" w:hAnsi="Calibri"/>
          <w:b/>
          <w:color w:val="0F172A"/>
        </w:rPr>
        <w:t>ControlGAS (ATIO Group)</w:t>
      </w:r>
      <w:r>
        <w:rPr>
          <w:rFonts w:ascii="Calibri" w:hAnsi="Calibri"/>
          <w:sz w:val="22"/>
        </w:rPr>
        <w:t>, PetroIntelligence y sistemas de dispensarios.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El Pitch de Alianza:</w:t>
      </w:r>
      <w:r>
        <w:rPr>
          <w:rFonts w:ascii="Calibri" w:hAnsi="Calibri"/>
          <w:sz w:val="22"/>
        </w:rPr>
        <w:t xml:space="preserve"> *"Tus clientes de ControlGAS sufren integrando terminales independientes en la bomba. Nos conectamos a tu software por API/App2App ligera sin estorbar tu sistema y compartimos valor."*</w:t>
      </w:r>
    </w:p>
    <w:p>
      <w:pPr>
        <w:pStyle w:val="ListBullet"/>
      </w:pPr>
      <w:r>
        <w:rPr>
          <w:rFonts w:ascii="Calibri" w:hAnsi="Calibri"/>
          <w:b/>
          <w:color w:val="0F172A"/>
        </w:rPr>
        <w:t>Entregable Esperado:</w:t>
      </w:r>
      <w:r>
        <w:rPr>
          <w:rFonts w:ascii="Calibri" w:hAnsi="Calibri"/>
          <w:sz w:val="22"/>
        </w:rPr>
        <w:t xml:space="preserve"> 1 Acuerdo de Co-Selling que abre la puerta a decenas de estaciones por recomendación directa.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📍 Fase 3: Atracción Digital Paga Hiper-Dirigida (Días 16 a 30)</w:t>
      </w:r>
    </w:p>
    <w:p>
      <w:pPr>
        <w:pStyle w:val="ListBullet"/>
      </w:pPr>
      <w:r>
        <w:rPr>
          <w:rFonts w:ascii="Calibri" w:hAnsi="Calibri"/>
          <w:b/>
          <w:color w:val="0F172A"/>
        </w:rPr>
        <w:t>Acción:</w:t>
      </w:r>
      <w:r>
        <w:rPr>
          <w:rFonts w:ascii="Calibri" w:hAnsi="Calibri"/>
          <w:sz w:val="22"/>
        </w:rPr>
        <w:t xml:space="preserve"> Invertir $10,000 MXN mensuales en publicidad directa (Facebook Reels de 25 seg de la bomba cobrando en vivo y LinkedIn Carrusel PDF de la guía de integración).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Foco:</w:t>
      </w:r>
      <w:r>
        <w:rPr>
          <w:rFonts w:ascii="Calibri" w:hAnsi="Calibri"/>
          <w:sz w:val="22"/>
        </w:rPr>
        <w:t xml:space="preserve"> Captar gerentes y contadores de grupos gasolineros medianos (2 a 15 estaciones).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Entregable Esperado: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8 a 12 Leads cualificados por mes</w:t>
      </w:r>
      <w:r>
        <w:rPr>
          <w:rFonts w:ascii="Calibri" w:hAnsi="Calibri"/>
          <w:sz w:val="22"/>
        </w:rPr>
        <w:t xml:space="preserve"> a un costo por lead de $250 - $400 MXN.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📚 2. Fuentes Reales y Verificables del Sector Gasolinero en México</w:t>
      </w:r>
    </w:p>
    <w:p>
      <w:r>
        <w:rPr>
          <w:rFonts w:ascii="Calibri" w:hAnsi="Calibri"/>
          <w:sz w:val="22"/>
        </w:rPr>
        <w:t>Para defender esta estrategia ante el CEO con datos duros y cero supuestos: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color w:val="0F172A"/>
        </w:rPr>
        <w:t>Carga Fiscal y Margen de la Estación (ONEXPO Nacional A.C. &amp; DOF):</w:t>
      </w:r>
    </w:p>
    <w:p>
      <w:pPr>
        <w:pStyle w:val="ListBullet"/>
      </w:pPr>
      <w:r>
        <w:rPr>
          <w:rFonts w:ascii="Calibri" w:hAnsi="Calibri"/>
          <w:sz w:val="22"/>
        </w:rPr>
        <w:t xml:space="preserve">*Dato Verificable:* El precio del litro de gasolina (~$24.00 MXN) tiene cerca de un </w:t>
      </w:r>
      <w:r>
        <w:rPr>
          <w:rFonts w:ascii="Calibri" w:hAnsi="Calibri"/>
          <w:b/>
          <w:color w:val="0F172A"/>
        </w:rPr>
        <w:t>40% de carga fiscal</w:t>
      </w:r>
      <w:r>
        <w:rPr>
          <w:rFonts w:ascii="Calibri" w:hAnsi="Calibri"/>
          <w:sz w:val="22"/>
        </w:rPr>
        <w:t xml:space="preserve"> (IEPS Acuerdo DOF 124/2026 + IVA).</w:t>
      </w:r>
    </w:p>
    <w:p>
      <w:pPr>
        <w:pStyle w:val="ListBullet"/>
      </w:pPr>
      <w:r>
        <w:rPr>
          <w:rFonts w:ascii="Calibri" w:hAnsi="Calibri"/>
          <w:sz w:val="22"/>
        </w:rPr>
        <w:t xml:space="preserve">*Impacto:* El margen bruto del gasolinero es de apenas </w:t>
      </w:r>
      <w:r>
        <w:rPr>
          <w:rFonts w:ascii="Calibri" w:hAnsi="Calibri"/>
          <w:b/>
          <w:color w:val="0F172A"/>
        </w:rPr>
        <w:t>$0.80 a $1.40 MXN por litro</w:t>
      </w:r>
      <w:r>
        <w:rPr>
          <w:rFonts w:ascii="Calibri" w:hAnsi="Calibri"/>
          <w:sz w:val="22"/>
        </w:rPr>
        <w:t xml:space="preserve"> (3.5% a 5.5%). Cuando un banco tradicional cobra 2% de comisión adquirente sobre los $24.00 brutos, se queda con casi el 40% de la ganancia neta de la estación.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color w:val="0F172A"/>
        </w:rPr>
        <w:t>Mandato SAT de Controles Volumétricos (Anexo 30 &amp; SENER):</w:t>
      </w:r>
    </w:p>
    <w:p>
      <w:pPr>
        <w:pStyle w:val="ListBullet"/>
      </w:pPr>
      <w:r>
        <w:rPr>
          <w:rFonts w:ascii="Calibri" w:hAnsi="Calibri"/>
          <w:sz w:val="22"/>
        </w:rPr>
        <w:t>*Dato Verificable:* La regulación del SAT sanciona cualquier discrepancia entre el registro del dispensario y el reporte de facturación.</w:t>
      </w:r>
    </w:p>
    <w:p>
      <w:pPr>
        <w:pStyle w:val="ListBullet"/>
      </w:pPr>
      <w:r>
        <w:rPr>
          <w:rFonts w:ascii="Calibri" w:hAnsi="Calibri"/>
          <w:sz w:val="22"/>
        </w:rPr>
        <w:t>*Impacto:* El "tecleo manual" de montos en terminales bancarias independientes es la causa #1 de inconsistencias reportadas. La integración App2App de PayMind elimina este riesgo de raíz.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color w:val="0F172A"/>
        </w:rPr>
        <w:t>El Mercado de Software Volumétrico en México:</w:t>
      </w:r>
    </w:p>
    <w:p>
      <w:pPr>
        <w:pStyle w:val="ListBullet"/>
      </w:pPr>
      <w:r>
        <w:rPr>
          <w:rFonts w:ascii="Calibri" w:hAnsi="Calibri"/>
          <w:sz w:val="22"/>
        </w:rPr>
        <w:t xml:space="preserve">*Dato Verificable:* </w:t>
      </w:r>
      <w:r>
        <w:rPr>
          <w:rFonts w:ascii="Calibri" w:hAnsi="Calibri"/>
          <w:b/>
          <w:color w:val="0F172A"/>
        </w:rPr>
        <w:t>ATIO Group (ControlGAS)</w:t>
      </w:r>
      <w:r>
        <w:rPr>
          <w:rFonts w:ascii="Calibri" w:hAnsi="Calibri"/>
          <w:sz w:val="22"/>
        </w:rPr>
        <w:t xml:space="preserve"> opera en aproximadamente el </w:t>
      </w:r>
      <w:r>
        <w:rPr>
          <w:rFonts w:ascii="Calibri" w:hAnsi="Calibri"/>
          <w:b/>
          <w:color w:val="0F172A"/>
        </w:rPr>
        <w:t>40% de las gasolineras del país</w:t>
      </w:r>
      <w:r>
        <w:rPr>
          <w:rFonts w:ascii="Calibri" w:hAnsi="Calibri"/>
          <w:sz w:val="22"/>
        </w:rPr>
        <w:t xml:space="preserve"> (Fuente: Surtidores LATAM / ONEXPO).</w:t>
      </w:r>
    </w:p>
    <w:p>
      <w:pPr>
        <w:pStyle w:val="ListBullet"/>
      </w:pPr>
      <w:r>
        <w:rPr>
          <w:rFonts w:ascii="Calibri" w:hAnsi="Calibri"/>
          <w:sz w:val="22"/>
        </w:rPr>
        <w:t xml:space="preserve">*Impacto:* ControlGAS vende el software de administración, pero </w:t>
      </w:r>
      <w:r>
        <w:rPr>
          <w:rFonts w:ascii="Calibri" w:hAnsi="Calibri"/>
          <w:b/>
          <w:color w:val="0F172A"/>
        </w:rPr>
        <w:t>no procesa pagos adquirentes</w:t>
      </w:r>
      <w:r>
        <w:rPr>
          <w:rFonts w:ascii="Calibri" w:hAnsi="Calibri"/>
          <w:sz w:val="22"/>
        </w:rPr>
        <w:t>. Una alianza de integración con sus distribuidores abre un canal de distribución masivo.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🤝 3. Qué están haciendo los Software Volumétricos &amp; Estrategia de Co-Selling</w:t>
      </w:r>
    </w:p>
    <w:p>
      <w:r>
        <w:rPr>
          <w:rFonts w:ascii="Calibri" w:hAnsi="Calibri"/>
          <w:sz w:val="22"/>
        </w:rPr>
        <w:t xml:space="preserve">Los grandes proveedores de control volumétrico (ControlGAS / ATIO, Verifone, Gilbarco, Bennett) enfrentan un dilema: </w:t>
      </w:r>
      <w:r>
        <w:rPr>
          <w:rFonts w:ascii="Calibri" w:hAnsi="Calibri"/>
          <w:b/>
          <w:color w:val="0F172A"/>
        </w:rPr>
        <w:t>sus clientes les exigen cobrar en la bomba, pero ellos no son bancos ni pasarelas de pago</w:t>
      </w:r>
      <w:r>
        <w:rPr>
          <w:rFonts w:ascii="Calibri" w:hAnsi="Calibri"/>
          <w:sz w:val="22"/>
        </w:rPr>
        <w:t>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La Estrategia de Colaboración PayMind + ControlGAS: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SOFTWARE VOLUMÉTRICO (ControlGAS)  ──►  PAYMIND SMARTPOS  ──►  BANCO / VALES (T+1)</w:t>
      </w:r>
    </w:p>
    <w:p>
      <w:r>
        <w:rPr>
          <w:rFonts w:ascii="Calibri" w:hAnsi="Calibri"/>
          <w:sz w:val="22"/>
        </w:rPr>
        <w:t>(Lleva el inventario y facturas)         (Cobra en la bomba)      (Dispersa dinero al día sig)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pStyle w:val="ListBullet"/>
      </w:pPr>
      <w:r>
        <w:rPr>
          <w:rFonts w:ascii="Calibri" w:hAnsi="Calibri"/>
          <w:b/>
          <w:color w:val="0F172A"/>
        </w:rPr>
        <w:t>Ganancia para ControlGAS:</w:t>
      </w:r>
      <w:r>
        <w:rPr>
          <w:rFonts w:ascii="Calibri" w:hAnsi="Calibri"/>
          <w:sz w:val="22"/>
        </w:rPr>
        <w:t xml:space="preserve"> Le ofrecen a sus gasolineras una solución de pago integrada sin tener que desarrollar software adquirente.</w:t>
      </w:r>
    </w:p>
    <w:p>
      <w:pPr>
        <w:pStyle w:val="ListBullet"/>
      </w:pPr>
      <w:r>
        <w:rPr>
          <w:rFonts w:ascii="Calibri" w:hAnsi="Calibri"/>
          <w:b/>
          <w:color w:val="0F172A"/>
        </w:rPr>
        <w:t>Ganancia para PayMind:</w:t>
      </w:r>
      <w:r>
        <w:rPr>
          <w:rFonts w:ascii="Calibri" w:hAnsi="Calibri"/>
          <w:sz w:val="22"/>
        </w:rPr>
        <w:t xml:space="preserve"> Acceso directo a su base instalada de estaciones sin pagar pauta publicitaria.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Comparativa de Inversión a 4 Meses: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Costo mensual:</w:t>
      </w:r>
      <w:r>
        <w:rPr>
          <w:rFonts w:ascii="Calibri" w:hAnsi="Calibri"/>
          <w:sz w:val="22"/>
        </w:rPr>
        <w:t xml:space="preserve"> $30,000 MXN $\times$ 4 meses = </w:t>
      </w:r>
      <w:r>
        <w:rPr>
          <w:rFonts w:ascii="Calibri" w:hAnsi="Calibri"/>
          <w:b/>
          <w:color w:val="0F172A"/>
        </w:rPr>
        <w:t>`$120,000 MXN`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Entregables:</w:t>
      </w:r>
      <w:r>
        <w:rPr>
          <w:rFonts w:ascii="Calibri" w:hAnsi="Calibri"/>
          <w:sz w:val="22"/>
        </w:rPr>
        <w:t xml:space="preserve"> Diapositivas de estrategia, 4 meses de espera ("construir desde cero"), cero leads garantizados y cero conocimiento de pagos.</w:t>
      </w:r>
    </w:p>
    <w:p>
      <w:r>
        <w:rPr>
          <w:rFonts w:ascii="Calibri" w:hAnsi="Calibri"/>
          <w:sz w:val="22"/>
        </w:rPr>
        <w:t>#### 🟢 Opción B: Ejecución In-House (PayMind Growth Engine + Equipo Fijo)</w:t>
      </w:r>
    </w:p>
    <w:p>
      <w:pPr>
        <w:pStyle w:val="ListBullet"/>
      </w:pPr>
      <w:r>
        <w:rPr>
          <w:rFonts w:ascii="Calibri" w:hAnsi="Calibri"/>
          <w:b/>
          <w:color w:val="0F172A"/>
        </w:rPr>
        <w:t>Plataforma Snov.io (Outbound 433 Gasolineras):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$1,000 MXN / mes</w:t>
      </w:r>
      <w:r>
        <w:rPr>
          <w:rFonts w:ascii="Calibri" w:hAnsi="Calibri"/>
          <w:sz w:val="22"/>
        </w:rPr>
        <w:t xml:space="preserve"> $\times$ 4 meses = </w:t>
      </w:r>
      <w:r>
        <w:rPr>
          <w:rFonts w:ascii="Consolas" w:hAnsi="Consolas"/>
          <w:color w:val="E11D48"/>
          <w:sz w:val="19"/>
        </w:rPr>
        <w:t>$4,000 MXN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color w:val="0F172A"/>
        </w:rPr>
        <w:t>Presupuesto de Pauta Dirigida (Meta / LinkedIn):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$10,000 MXN / mes</w:t>
      </w:r>
      <w:r>
        <w:rPr>
          <w:rFonts w:ascii="Calibri" w:hAnsi="Calibri"/>
          <w:sz w:val="22"/>
        </w:rPr>
        <w:t xml:space="preserve"> $\times$ 3 meses = </w:t>
      </w:r>
      <w:r>
        <w:rPr>
          <w:rFonts w:ascii="Consolas" w:hAnsi="Consolas"/>
          <w:color w:val="E11D48"/>
          <w:sz w:val="19"/>
        </w:rPr>
        <w:t>$30,000 MXN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Costo Total Opción B: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`$69,000 MXN`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💡 Conclusión Ejecutiva</w:t>
      </w:r>
    </w:p>
    <w:p>
      <w:r>
        <w:rPr>
          <w:rFonts w:ascii="Calibri" w:hAnsi="Calibri"/>
          <w:sz w:val="22"/>
        </w:rPr>
        <w:t xml:space="preserve">Invertir en el equipamiento in-house y en pauta directa nos da </w:t>
      </w:r>
      <w:r>
        <w:rPr>
          <w:rFonts w:ascii="Calibri" w:hAnsi="Calibri"/>
          <w:b/>
          <w:color w:val="0F172A"/>
        </w:rPr>
        <w:t>control total, velocidad 10 veces mayor y un ahorro de más de $50,000 MXN</w:t>
      </w:r>
      <w:r>
        <w:rPr>
          <w:rFonts w:ascii="Calibri" w:hAnsi="Calibri"/>
          <w:sz w:val="22"/>
        </w:rP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