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🗺️ Playbook de Segmentación GTM por Clusters: PayMind Gasolineras</w:t>
      </w:r>
    </w:p>
    <w:p>
      <w:pPr>
        <w:ind w:left="576"/>
      </w:pPr>
      <w:r>
        <w:rPr>
          <w:rFonts w:ascii="Calibri" w:hAnsi="Calibri"/>
          <w:i/>
          <w:color w:val="475569"/>
        </w:rPr>
        <w:t>**Estrategia:** Clasificación de la base de 433 contactos en 3 baldes de prospección hiper-personalizados para maximizar la tasa de conversión en outbound y ABM.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🏢 Cluster 1: Los Macro-Grupos Corporativos (Top Tier)</w:t>
      </w:r>
    </w:p>
    <w:p>
      <w:pPr>
        <w:pStyle w:val="ListBullet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sz w:val="22"/>
        </w:rPr>
        <w:t xml:space="preserve"> Grupos de +50 estaciones (Oxxo Gas, Petro-7, Hidrosina, Grupo ORSAN, G500, CorpoGAS, Enerser, Servifácil, Valero).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sz w:val="22"/>
        </w:rPr>
        <w:t xml:space="preserve"> Servidores propios, directores de TI dedicados, ControlGAS / Alvic Enterprise, macro-ERPs (SAP Business One, Dyngas / Dynamics 365).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ABM Middleware / Ruteo Puro</w:t>
      </w:r>
      <w:r>
        <w:rPr>
          <w:rFonts w:ascii="Calibri" w:hAnsi="Calibri"/>
          <w:sz w:val="22"/>
        </w:rPr>
        <w:t xml:space="preserve"> *(Conserva sus afiliaciones de BBVA, BanBajío, Afirme) + Conciliación ERP en tiempo real + Validador Grupo ORSAN*.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🗺️ Cluster 2: Los Grupos Regionales Consolidados (Mid Market)</w:t>
      </w:r>
    </w:p>
    <w:p>
      <w:pPr>
        <w:pStyle w:val="ListBullet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sz w:val="22"/>
        </w:rPr>
        <w:t xml:space="preserve"> Cadenas de 10 a 50 estaciones (Grupo Octano, Nexum, Redco, Rendichicas, La Gas).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sz w:val="22"/>
        </w:rPr>
        <w:t xml:space="preserve"> ControlGAS, CG-MEX, Volutrak, Nexus Fuel, Intelisis Gasolineras, EFT ERP.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Integración a su Proveedor Actual + Solución Antifraude en Bomba + Unificación de Vales T+1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⛽ Cluster 3: Los Independientes / "Hombre-Estación" (Long Tail / PYME)</w:t>
      </w:r>
    </w:p>
    <w:p>
      <w:pPr>
        <w:pStyle w:val="ListBullet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sz w:val="22"/>
        </w:rPr>
        <w:t xml:space="preserve"> Dueños o familias con 1 a 5 estaciones (Franquicias Pemex o independientes).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sz w:val="22"/>
        </w:rPr>
        <w:t xml:space="preserve"> Volumétricos económicos (Verifuel, Smartgas), SaaS ligero (getcastores.mx + TicketFact), software contable (Aspel COI).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Modelo Agregador (Adquirencia Directa PayMind) Llave en Mano</w:t>
      </w:r>
      <w:r>
        <w:rPr>
          <w:rFonts w:ascii="Calibri" w:hAnsi="Calibri"/>
          <w:sz w:val="22"/>
        </w:rPr>
        <w:t xml:space="preserve"> *con SmartPOS Nexgo ATEX antichispas, mejor tasa y terminal bloqueada a la bomba*.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👥 Conteo de Contactos en Base de Datos (433 Total)</w:t>
      </w:r>
    </w:p>
    <w:p>
      <w:pPr>
        <w:pStyle w:val="ListBullet"/>
      </w:pPr>
      <w:r>
        <w:rPr>
          <w:rFonts w:ascii="Calibri" w:hAnsi="Calibri"/>
          <w:b/>
          <w:color w:val="0F172A"/>
        </w:rPr>
        <w:t>Cluster 2: Grupo Regional Consolidado (Mid Market):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331 Contactos</w:t>
      </w:r>
      <w:r>
        <w:rPr>
          <w:rFonts w:ascii="Calibri" w:hAnsi="Calibri"/>
          <w:sz w:val="22"/>
        </w:rPr>
        <w:t xml:space="preserve"> (76.4%)</w:t>
      </w:r>
    </w:p>
    <w:p>
      <w:pPr>
        <w:pStyle w:val="ListBullet"/>
      </w:pPr>
      <w:r>
        <w:rPr>
          <w:rFonts w:ascii="Calibri" w:hAnsi="Calibri"/>
          <w:b/>
          <w:color w:val="0F172A"/>
        </w:rPr>
        <w:t>Cluster 3: Estacion Independiente / PYME (Long Tail):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92 Contactos</w:t>
      </w:r>
      <w:r>
        <w:rPr>
          <w:rFonts w:ascii="Calibri" w:hAnsi="Calibri"/>
          <w:sz w:val="22"/>
        </w:rPr>
        <w:t xml:space="preserve"> (21.2%)</w:t>
      </w:r>
    </w:p>
    <w:p>
      <w:pPr>
        <w:pStyle w:val="ListBullet"/>
      </w:pPr>
      <w:r>
        <w:rPr>
          <w:rFonts w:ascii="Calibri" w:hAnsi="Calibri"/>
          <w:b/>
          <w:color w:val="0F172A"/>
        </w:rPr>
        <w:t>Cluster 1: Macro-Grupo Corporativo (Top Tier):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10 Contactos</w:t>
      </w:r>
      <w:r>
        <w:rPr>
          <w:rFonts w:ascii="Calibri" w:hAnsi="Calibri"/>
          <w:sz w:val="22"/>
        </w:rPr>
        <w:t xml:space="preserve"> (2.3%)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